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3D" w:rsidRDefault="0067243D" w:rsidP="0067243D">
      <w:pPr>
        <w:spacing w:before="100" w:beforeAutospacing="1" w:after="260" w:line="240" w:lineRule="auto"/>
        <w:ind w:firstLine="567"/>
        <w:jc w:val="center"/>
        <w:rPr>
          <w:rFonts w:ascii="Times New Roman" w:eastAsia="Times New Roman" w:hAnsi="Times New Roman"/>
          <w:i/>
          <w:color w:val="404040"/>
          <w:sz w:val="32"/>
          <w:szCs w:val="32"/>
          <w:lang w:eastAsia="ru-RU"/>
        </w:rPr>
      </w:pPr>
      <w:r w:rsidRPr="00AD208F">
        <w:rPr>
          <w:rFonts w:ascii="Times New Roman" w:eastAsia="Times New Roman" w:hAnsi="Times New Roman"/>
          <w:i/>
          <w:color w:val="404040"/>
          <w:sz w:val="32"/>
          <w:szCs w:val="32"/>
          <w:lang w:eastAsia="ru-RU"/>
        </w:rPr>
        <w:t>У</w:t>
      </w:r>
      <w:r w:rsidRPr="00AA5120">
        <w:rPr>
          <w:rFonts w:ascii="Times New Roman" w:eastAsia="Times New Roman" w:hAnsi="Times New Roman"/>
          <w:i/>
          <w:color w:val="404040"/>
          <w:sz w:val="32"/>
          <w:szCs w:val="32"/>
          <w:lang w:eastAsia="ru-RU"/>
        </w:rPr>
        <w:t>важаемые индивидуальные предприниматели!</w:t>
      </w:r>
    </w:p>
    <w:p w:rsidR="0067243D" w:rsidRPr="00AA5120" w:rsidRDefault="0067243D" w:rsidP="0067243D">
      <w:pPr>
        <w:spacing w:before="100" w:beforeAutospacing="1" w:after="260" w:line="240" w:lineRule="auto"/>
        <w:ind w:firstLine="567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Фонд социальной защиты населения напоминает о необходимости уплаты обяза</w:t>
      </w:r>
      <w:r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тельных страховых взносов за 2017 год до 1 марта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8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года, а также о погашении задолженности (в том числе и по пене), образовавшейся за предыдущие периоды.  На сумму задолженности за каждый день просрочки (включая день уплаты) начисляется пеня в размере 1/360 ставки рефинансирования Национального банка Республики Беларусь.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br/>
        <w:t>           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При несвоевременном перечислении обязательных страховых взносов Фонд социальной защиты вынужден будет обратиться в Хозяйственный суд Гродненской области, прокуратуру, Комитет государственного контроля Республики Беларусь.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br/>
        <w:t>            По вопросам уплаты обязательных платежей каждый индивидуальный предприниматель может обратиться в районные отделы Фонда по месту регистрации</w:t>
      </w:r>
      <w:r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.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</w:p>
    <w:p w:rsidR="0067243D" w:rsidRPr="00AA5120" w:rsidRDefault="0067243D" w:rsidP="006724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ru-RU"/>
        </w:rPr>
        <w:t>Гибкие системы оплаты труда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Правильно выбранная система оплаты труда не только усиливает стимулирующую роль заработной платы и способствует выполнению поставленных перед организацией задач, её экономическому развитию, но и повышает мотивацию работников к высокопроизводительному труду.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Необходимость исключения излишнего регулирования труда, административного </w:t>
      </w:r>
      <w:proofErr w:type="gram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контроля за</w:t>
      </w:r>
      <w:proofErr w:type="gram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заработной платой со стороны государства была определена Директивой Президента от 31.12.2010 № 4 «О развитии предпринимательской инициативы и стимулировании деловой активности в Республике Беларусь».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proofErr w:type="gram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С принятием Указа Президента Республики Беларусь от 10.05.2011 № 181 «О некоторых мерах по совершенствованию государственного регулирования в области оплаты труда», для организаций реального сектора экономики были сняты практически все административные барьеры и ограничения, наниматели коммерческих организаций получили широкие права и возможности в выборе гибких систем оплаты высокопроизводительного и эффективного труда, 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создана нормативная правовая база, способствующая:</w:t>
      </w:r>
      <w:proofErr w:type="gramEnd"/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- свободному выбору систем оплаты труда работников;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- обеспечению прозрачности и простоты начисления заработной платы;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- установлению уровня заработной платы в зависимости от вклада каждого конкретного работника (коллектива) в конечные результаты деятельности организации и в пределах имеющихся финансовых возможностей;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-повышению качества, инициативы, производительности и мотивации труда;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- привлечению и удержанию высококвалифицированных специалистов, а также улучшению инвестиционной привлекательности для иностранных инвесторов.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Вместе с тем практика показывает, что большинство нанимателей и специалистов, занимающихся вопросами оплаты труда, не готовы к самостоятельной деятельности в этой области и сохранили системы оплаты труда на основе Единой тарифной сетки Работников Республики Беларусь.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proofErr w:type="gram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Следует отметить, что при выборе систем оплаты труда следует учитывать, что согласно ст. 63 Трудового кодекса Республики Беларусь (далее – ТК) каждая коммерческая организация разрабатывает самостоятельно локальный нормативный 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lastRenderedPageBreak/>
        <w:t>правовой акт (ЛНПА), который и регулирует порядок и условия оплаты труда, применение форм и систем оплаты труда для различных категорий работников организации, в т.ч. определяет порядок формирования сдельных расценок.</w:t>
      </w:r>
      <w:proofErr w:type="gramEnd"/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Таким ЛНПА, как правило, является коллективный договор, составная часть которого – положение об оплате труда. Вместе с тем положение об оплате труда может являться также самостоятельным ЛНПА (утвержденным руководителем по согласованию с профсоюзным комитетом), действие которого распространяется на всех работников организации.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В положении об оплате 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труда определяется состав заработной платы работников организации и порядок ее формирования, а также формы и системы оплаты труда работников (например, повременно-премиальная на основе тарифной сетки, сдельно-премиальная, комиссионная, система оплаты труда по </w:t>
      </w:r>
      <w:proofErr w:type="spell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грейдам</w:t>
      </w:r>
      <w:proofErr w:type="spell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, индивидуальные условия оплаты труда и т.д.).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В одной организации можно применять две и более системы оплаты труда применительно к различным категориям работников.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Независимо от системы оплаты труда, действующей в организации, необходимо руководствоваться ст. 61 ТК, в соответствии с которой оплата труда работников организации производится на основе часовых и (или) месячных тарифных ставок (окладов), определяемых в коллективном договоре, соглашении или нанимателем. С учетом норм ст. 61 ТК применение любых гибких систем оплаты труда в обязательном порядке требует определения тарифной части заработной платы работников (тарифных ставок (окладов) работников). Это могут быть такие термины, как «тарифные ставки», «оклады», «должностные оклады», «базовые оклады» и т.д.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Для оказания методической помощи Министерством труда и социальной защиты приняты Рекомендации по применению гибких систем оплаты труда в коммерческих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организациях (далее – Рекомендации № 104),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утвержденные постановлением Министерства труда и социальной защиты Республики Беларусь от 21.10.2011 № 104.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ru-RU"/>
        </w:rPr>
        <w:t>1. Применение Единой тарифной сетки работников Республики Беларусь (ЕТС).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Если наниматель решил в дальнейшем применять ЕТС при оплате труда работников, то в документах по оплате труда необходимо исключить ссылку на утратившие силу документы: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- Инструкцию о порядке определения тарифных ставок и должностных окладов работников коммерческих организаций и индивидуальных предпринимателей, утвержденную постановлением Минтруда и соцзащиты от 26.04.2009 № 60;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- Инструкцию о порядке применения Единой тарифной сетки работников Республики Беларусь, утвержденную постановлением Минтруда и соцзащиты от 20.09.2002 № 123.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В настоящее время постановлением Министерства труда и социальной защиты Республики Беларусь от 11.07.2011 № 67 утверждены Рекомендации по определению тарифных ставок (окладов) работников коммерческих организаций и о порядке их повышения,  утвержденные (далее – Рекомендации № 67). Однако ссылаться в ЛНПА на Рекомендации № 67 нельзя, т.к. этот документ не носит обязательного характера.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lastRenderedPageBreak/>
        <w:t>В положение об оплате труда можно включить и другие условия оплаты труда, не предусмотренные Рекомендациями № 67, а самостоятельно устанавливаемые в организации.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ru-RU"/>
        </w:rPr>
        <w:t>2. Применение тарифной сетки, отличной от ЕТС.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Применение в оплате труда тарифной сетки предполагает, что в положении об оплате труда наниматель установит тарифные разряды и соответствующие им тарифные коэффициенты.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 Возрастание тарифных коэффициентов (в одинаковых или различных </w:t>
      </w:r>
      <w:proofErr w:type="spell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межразрядных</w:t>
      </w:r>
      <w:proofErr w:type="spell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соотношениях), в т.ч. и для рабочих, устанавливается таким образом, чтобы обеспечить необходимую дифференциацию </w:t>
      </w:r>
      <w:proofErr w:type="gram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размеров оплаты труда</w:t>
      </w:r>
      <w:proofErr w:type="gram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работников.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Тарифные ставки (оклады) работников рассчитываются исходя из установленных тарифных коэффициентов и установленного размера тарифной ставки 1 разряда, действующей в организации.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Порядок разработки положения об оплате труда аналогичен </w:t>
      </w:r>
      <w:proofErr w:type="gram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применяемому</w:t>
      </w:r>
      <w:proofErr w:type="gram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в случае сохранения ЕТС.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ru-RU"/>
        </w:rPr>
        <w:t>3. Комиссионная система оплаты труда.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Данная форма предполагает множество разновидностей оплаты труда. Например, она может быть полностью основана на комиссионных процентах или строится по принципу «оклад плюс проценты», т.е. сочетать фиксированную ежемесячную заработную плату с комиссионным вознаграждением.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Наряду с этим выплачиваемое комиссионное вознаграждение может быть установлено в виде фиксированного процента от продаж, а также и прогрессивной шкалы.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Другой разновидностью оплаты труда на комиссионной основе является оплата в виде процента от суммы платежей, поступающих организации от заказчика в результате выполнения работником своих трудовых обязанностей. Помимо указанных выплат работник также может получать различные виды вознаграждений за перевыполнение нормы продажи товаров и т.д. 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При комиссионной системе условия оплаты труда должны определять в т.ч. гарантийный минимум оплаты труда.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ru-RU"/>
        </w:rPr>
        <w:t>4. Оплата труда на основе «плавающих» окладов.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Система «плавающих» окладов предусматривает установление нанимателем размеров тарифных ставок (окладов) в текущем месяце по итогам работы за предыдущий месяц с учетом личного вклада каждого работника в результате деятельности предприятия.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При введении системы «плавающих» окладов необходимо установить размеры тарифных ставок (окладов) на основании конкретных критериев, а также порядок, в котором наниматель будет принимать решение об изменении размера тарифной ставки (оклада).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При изменении размеров тарифных ставок (окладов) в случае применения системы «плавающих» окладов наниматель 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обязан утвердить новое штатное расписание. Например, при выполнении         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нормированного задания в размере 61-83% работник получает оклад, в размере 81-100% - 1,1 оклада, более 100% - 1,2 оклада.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ru-RU"/>
        </w:rPr>
        <w:t xml:space="preserve">5. Оплата труда на основе </w:t>
      </w:r>
      <w:proofErr w:type="spellStart"/>
      <w:r w:rsidRPr="00AA5120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ru-RU"/>
        </w:rPr>
        <w:t>грейдов</w:t>
      </w:r>
      <w:proofErr w:type="spellEnd"/>
      <w:r w:rsidRPr="00AA5120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ru-RU"/>
        </w:rPr>
        <w:t>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Система </w:t>
      </w:r>
      <w:proofErr w:type="spell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грейдов</w:t>
      </w:r>
      <w:proofErr w:type="spell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строится на распределении профессий и должностей работников организации по соответствующим группам (</w:t>
      </w:r>
      <w:proofErr w:type="spell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грейдам</w:t>
      </w:r>
      <w:proofErr w:type="spell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), каждая из 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lastRenderedPageBreak/>
        <w:t>которых характеризуется определенным уровнем оценок (например, в баллах). Как правило, такая система применяется для работников интеллектуального труда, результаты которого измеряются не количественными критериями.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При таком способе формирования заработной платы оценивается не сам работник, занимающий ту или иную должность, а вес и ценность собственно должности независимо от того, кто ее занимает. В качестве критериев для построения системы </w:t>
      </w:r>
      <w:proofErr w:type="spell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грейдов</w:t>
      </w:r>
      <w:proofErr w:type="spell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используются исходные требования (знания, умения), результативность должности (сложность), ответственность и др.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Сутью системы оплаты труда по системе </w:t>
      </w:r>
      <w:proofErr w:type="spell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грейдов</w:t>
      </w:r>
      <w:proofErr w:type="spell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является то, что на основании должностной инструкции по определенной шкале оцениваются необходимые для данного работника компетентность, квалификация, мера ответственности, результативность труда, решение проблем и другие критерии.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Конечной целью оценки должностей является установление диапазона должностных окладов по группам работников (</w:t>
      </w:r>
      <w:proofErr w:type="spell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грейдам</w:t>
      </w:r>
      <w:proofErr w:type="spell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).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Условные примеры расчета оценки должностей и построения диапазона должностных окладов при системе оплаты труда по </w:t>
      </w:r>
      <w:proofErr w:type="spell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грейдам</w:t>
      </w:r>
      <w:proofErr w:type="spell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приведены в приложении к Рекомендациям № 104.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Помимо тарифной части 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заработной платы наниматель в ЛНПА </w:t>
      </w:r>
      <w:r w:rsidRPr="00AD208F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 </w:t>
      </w: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устанавливает конкретный размер надбавок и доплат, а также стимулирующих и компенсирующих выплат. Таких как: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надбавка за сложность и напряженность труда, за высокие достижения в труде;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надбавка за выполнение особо важных (срочных) работ;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надбавка рабочим за профессиональное мастерство (надбавка за квалификационные классы (классность)));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надбавка за продолжительность непрерывной работы (стаж работы, выслугу лет);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доплата за руководство бригадой;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доплата за совмещение профессий (должностей), расширение зоны обслуживания (увеличение объема выполняемых работ), выполнение обязанностей временно отсутствующего работника (ст.67 ТК);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доплата за работу в ночное время или ночную смену при сменном режиме работы;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оплата за работу в сверхурочное время;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оплата за работу в государственные праздники, праздничные и выходные дни;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доплата за разделение рабочего дня на отдельные части;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доплата за ученые степени и звания;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надбавки за владение иностранными языками;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премии.</w:t>
      </w:r>
    </w:p>
    <w:p w:rsidR="0067243D" w:rsidRPr="00AA5120" w:rsidRDefault="0067243D" w:rsidP="00672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/>
          <w:sz w:val="26"/>
          <w:szCs w:val="26"/>
          <w:lang w:eastAsia="ru-RU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В положении об оплате труда целесообразно установить минимальные гарантии по оплате труда в размере не ниже </w:t>
      </w:r>
      <w:proofErr w:type="gram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предусмотренных</w:t>
      </w:r>
      <w:proofErr w:type="gram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законодательством.</w:t>
      </w:r>
    </w:p>
    <w:p w:rsidR="0067243D" w:rsidRPr="00AD208F" w:rsidRDefault="0067243D" w:rsidP="006724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Обращаем внимание, что с 1 сентября 2013 года вступило в силу постановление Совета Министров Республики Беларусь от 08.07.2013 г. № 597 «О совершенствовании </w:t>
      </w:r>
      <w:proofErr w:type="gramStart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>условий оплаты труда руководителей коммерческих организаций</w:t>
      </w:r>
      <w:proofErr w:type="gramEnd"/>
      <w:r w:rsidRPr="00AA5120">
        <w:rPr>
          <w:rFonts w:ascii="Times New Roman" w:eastAsia="Times New Roman" w:hAnsi="Times New Roman"/>
          <w:color w:val="404040"/>
          <w:sz w:val="26"/>
          <w:szCs w:val="26"/>
          <w:lang w:eastAsia="ru-RU"/>
        </w:rPr>
        <w:t xml:space="preserve"> в зависимости от результатов финансово-хозяйственной деятельности, признании утратившими силу некоторых постановлений Совета Министров Республики Беларусь и их отдельных структурных элементов».</w:t>
      </w:r>
    </w:p>
    <w:p w:rsidR="00FA211F" w:rsidRDefault="00FA211F"/>
    <w:sectPr w:rsidR="00FA211F" w:rsidSect="0089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3D"/>
    <w:rsid w:val="0067243D"/>
    <w:rsid w:val="00B9092C"/>
    <w:rsid w:val="00F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9626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2018-02-14T09:00:00Z</dcterms:created>
  <dcterms:modified xsi:type="dcterms:W3CDTF">2018-02-14T09:01:00Z</dcterms:modified>
</cp:coreProperties>
</file>