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F3" w:rsidRPr="00443EF3" w:rsidRDefault="00443EF3" w:rsidP="00443EF3">
      <w:pPr>
        <w:spacing w:after="0" w:line="280" w:lineRule="exact"/>
        <w:jc w:val="right"/>
        <w:rPr>
          <w:rFonts w:ascii="Times New Roman" w:hAnsi="Times New Roman"/>
          <w:i/>
          <w:sz w:val="24"/>
          <w:szCs w:val="24"/>
        </w:rPr>
      </w:pPr>
      <w:r w:rsidRPr="00443EF3">
        <w:rPr>
          <w:rFonts w:ascii="Times New Roman" w:hAnsi="Times New Roman"/>
          <w:i/>
          <w:sz w:val="24"/>
          <w:szCs w:val="24"/>
        </w:rPr>
        <w:t>К единому дню информирования</w:t>
      </w:r>
    </w:p>
    <w:p w:rsidR="0085571B" w:rsidRPr="00443EF3" w:rsidRDefault="00443EF3" w:rsidP="00443EF3">
      <w:pPr>
        <w:spacing w:after="0" w:line="280" w:lineRule="exact"/>
        <w:jc w:val="right"/>
        <w:rPr>
          <w:rFonts w:ascii="Times New Roman" w:hAnsi="Times New Roman"/>
          <w:i/>
          <w:sz w:val="24"/>
          <w:szCs w:val="24"/>
        </w:rPr>
      </w:pPr>
      <w:r w:rsidRPr="00443EF3">
        <w:rPr>
          <w:rFonts w:ascii="Times New Roman" w:hAnsi="Times New Roman"/>
          <w:i/>
          <w:sz w:val="24"/>
          <w:szCs w:val="24"/>
        </w:rPr>
        <w:t xml:space="preserve"> март 2020 г.</w:t>
      </w:r>
    </w:p>
    <w:p w:rsidR="0085571B" w:rsidRDefault="0085571B" w:rsidP="0085571B">
      <w:pPr>
        <w:rPr>
          <w:rFonts w:ascii="Times New Roman" w:hAnsi="Times New Roman"/>
          <w:sz w:val="30"/>
          <w:szCs w:val="30"/>
        </w:rPr>
      </w:pP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</w:t>
      </w:r>
      <w:r>
        <w:rPr>
          <w:rFonts w:ascii="Times New Roman" w:hAnsi="Times New Roman"/>
          <w:b/>
          <w:sz w:val="30"/>
          <w:szCs w:val="30"/>
        </w:rPr>
        <w:br/>
        <w:t xml:space="preserve">и перспективы их развития 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443EF3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  <w:r w:rsidR="00443EF3">
        <w:rPr>
          <w:rFonts w:ascii="Times New Roman" w:hAnsi="Times New Roman"/>
          <w:i/>
          <w:sz w:val="30"/>
          <w:szCs w:val="30"/>
        </w:rPr>
        <w:t xml:space="preserve">, </w:t>
      </w:r>
    </w:p>
    <w:p w:rsidR="0085571B" w:rsidRDefault="00443EF3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/>
          <w:i/>
          <w:sz w:val="30"/>
          <w:szCs w:val="30"/>
        </w:rPr>
        <w:t xml:space="preserve">отдела экономики </w:t>
      </w:r>
      <w:proofErr w:type="spellStart"/>
      <w:r>
        <w:rPr>
          <w:rFonts w:ascii="Times New Roman" w:hAnsi="Times New Roman"/>
          <w:i/>
          <w:sz w:val="30"/>
          <w:szCs w:val="30"/>
        </w:rPr>
        <w:t>Зельвенского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райисполкома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Инфографика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по данным материалам разработана Белорусским телеграфным агентством и размещена на его сайте в разделе «</w:t>
      </w:r>
      <w:proofErr w:type="spellStart"/>
      <w:r>
        <w:rPr>
          <w:rFonts w:ascii="Times New Roman" w:hAnsi="Times New Roman"/>
          <w:i/>
          <w:sz w:val="30"/>
          <w:szCs w:val="30"/>
        </w:rPr>
        <w:t>Инфографика</w:t>
      </w:r>
      <w:proofErr w:type="spellEnd"/>
      <w:r>
        <w:rPr>
          <w:rFonts w:ascii="Times New Roman" w:hAnsi="Times New Roman"/>
          <w:i/>
          <w:sz w:val="30"/>
          <w:szCs w:val="30"/>
        </w:rPr>
        <w:t>» (</w:t>
      </w:r>
      <w:hyperlink r:id="rId8" w:history="1">
        <w:r>
          <w:rPr>
            <w:rStyle w:val="a3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>
        <w:rPr>
          <w:rFonts w:ascii="Times New Roman" w:hAnsi="Times New Roman"/>
          <w:i/>
          <w:sz w:val="30"/>
          <w:szCs w:val="30"/>
        </w:rPr>
        <w:t>)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А.Г.Лукашенко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А.Г.Лукашенко: «</w:t>
      </w:r>
      <w:r>
        <w:rPr>
          <w:rFonts w:ascii="Times New Roman" w:hAnsi="Times New Roman"/>
          <w:b/>
          <w:sz w:val="30"/>
          <w:szCs w:val="30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>
        <w:rPr>
          <w:rFonts w:ascii="Times New Roman" w:hAnsi="Times New Roman"/>
          <w:sz w:val="30"/>
          <w:szCs w:val="30"/>
        </w:rPr>
        <w:t>».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>
        <w:rPr>
          <w:rFonts w:ascii="Times New Roman" w:hAnsi="Times New Roman"/>
          <w:sz w:val="30"/>
          <w:szCs w:val="30"/>
        </w:rPr>
        <w:t xml:space="preserve"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ООН. По </w:t>
      </w:r>
      <w:r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>
        <w:rPr>
          <w:rFonts w:ascii="Times New Roman" w:hAnsi="Times New Roman"/>
          <w:sz w:val="30"/>
          <w:szCs w:val="30"/>
        </w:rPr>
        <w:t xml:space="preserve"> республика находится на 23 месте (77,4 балла из 100), что выше средней оценки по региону Восточной </w:t>
      </w:r>
      <w:r>
        <w:rPr>
          <w:rFonts w:ascii="Times New Roman" w:hAnsi="Times New Roman"/>
          <w:sz w:val="30"/>
          <w:szCs w:val="30"/>
        </w:rPr>
        <w:lastRenderedPageBreak/>
        <w:t xml:space="preserve">Европы и Центральной Азии. В </w:t>
      </w:r>
      <w:r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</w:t>
      </w:r>
      <w:r>
        <w:rPr>
          <w:rFonts w:ascii="Times New Roman" w:hAnsi="Times New Roman"/>
          <w:sz w:val="30"/>
          <w:szCs w:val="30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:rsidR="0085571B" w:rsidRPr="0085571B" w:rsidRDefault="007D7B5B" w:rsidP="008557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9" w:tgtFrame="_blank" w:tooltip="Указ Президента Республики Беларусь от 31 октября 2019 г. №401 " w:history="1">
        <w:r w:rsidR="0085571B" w:rsidRPr="0085571B">
          <w:rPr>
            <w:rStyle w:val="a3"/>
            <w:color w:val="auto"/>
            <w:sz w:val="30"/>
            <w:szCs w:val="30"/>
            <w:u w:val="none"/>
          </w:rPr>
          <w:t>Указ Президента Республики Беларусь от 31 октября 2019 г. №401</w:t>
        </w:r>
        <w:r w:rsidR="0085571B" w:rsidRPr="0085571B">
          <w:rPr>
            <w:sz w:val="30"/>
            <w:szCs w:val="30"/>
          </w:rPr>
          <w:br/>
        </w:r>
        <w:r w:rsidR="0085571B" w:rsidRPr="0085571B">
          <w:rPr>
            <w:rStyle w:val="a3"/>
            <w:color w:val="auto"/>
            <w:sz w:val="30"/>
            <w:szCs w:val="30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85571B" w:rsidRPr="0085571B">
        <w:rPr>
          <w:sz w:val="30"/>
          <w:szCs w:val="30"/>
        </w:rPr>
        <w:t>;</w:t>
      </w:r>
    </w:p>
    <w:p w:rsidR="0085571B" w:rsidRDefault="007D7B5B" w:rsidP="008557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tgtFrame="_blank" w:tooltip="Постановление Совета Министров Республики Беларусь от 27 декабря 2019 г. №921 " w:history="1">
        <w:r w:rsidR="0085571B" w:rsidRPr="0085571B">
          <w:rPr>
            <w:rStyle w:val="a3"/>
            <w:color w:val="auto"/>
            <w:sz w:val="30"/>
            <w:szCs w:val="30"/>
            <w:u w:val="none"/>
          </w:rPr>
          <w:t>постановление Совета Министров Республики Беларусь от</w:t>
        </w:r>
        <w:r w:rsidR="00231B78">
          <w:rPr>
            <w:rStyle w:val="a3"/>
            <w:color w:val="auto"/>
            <w:sz w:val="30"/>
            <w:szCs w:val="30"/>
            <w:u w:val="none"/>
          </w:rPr>
          <w:br/>
        </w:r>
        <w:r w:rsidR="0085571B" w:rsidRPr="0085571B">
          <w:rPr>
            <w:rStyle w:val="a3"/>
            <w:color w:val="auto"/>
            <w:sz w:val="30"/>
            <w:szCs w:val="30"/>
            <w:u w:val="none"/>
          </w:rPr>
          <w:t>27 декабря 2019 г. №921 «О задачах социально-экономического развития Республики Беларусь на 2020 год»</w:t>
        </w:r>
      </w:hyperlink>
      <w:r w:rsidR="0085571B">
        <w:rPr>
          <w:sz w:val="28"/>
          <w:szCs w:val="28"/>
        </w:rPr>
        <w:t>;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 Беларусь, утверждаемая Главой государства;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г.Минска, районов и городов областного подчинения.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Для реализации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мероприятий государственных программ на пятилетний период, финансируемых за счет средств местных бюджетов, на уровне областей, г. Минска, районов и городов областного подчинения формируются региональные комплексы мероприятий.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2018 г. № 506) и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2019 г. № 58).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и соответствующих административно-территориальных единиц (далее –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АТЕ) разработаны и приняты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:rsidR="0085571B" w:rsidRDefault="0085571B" w:rsidP="0085571B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85571B" w:rsidRDefault="0085571B" w:rsidP="0085571B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Мозырского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Лидского, Борисовского,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Молодечненского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Солигорского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районов. </w:t>
      </w:r>
    </w:p>
    <w:p w:rsidR="0085571B" w:rsidRDefault="0085571B" w:rsidP="0085571B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85571B" w:rsidRDefault="0085571B" w:rsidP="0085571B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>
        <w:rPr>
          <w:rFonts w:ascii="Times New Roman" w:hAnsi="Times New Roman"/>
          <w:b/>
          <w:spacing w:val="-6"/>
          <w:sz w:val="30"/>
          <w:szCs w:val="30"/>
        </w:rPr>
        <w:t>2019 года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рост ВРП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(101,2%) и Могилевской области (100,5%). В Витебской и Гомельской областях ВРП сложился на уровне предыдущего года, в Гродненской области допущено падение ВРП до 99,6% к 2018 году.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горнодобыче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падения мировых цен на сырьевые ресурсы, усиления конкуренции на основных рынках сбыта.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>Основная доля ВРП формируется предприятиями промышленного комплекса.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А.Г.Лукашенко побывал с рабочими визитами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г.Шклове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г.Добруше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г.Светлогорске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Гомельская (за 2019 год – 20,6% объема промышленного производства страны), Минская (19,6%), Витебская (14,3%) области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>
        <w:rPr>
          <w:rFonts w:ascii="Times New Roman" w:hAnsi="Times New Roman"/>
          <w:spacing w:val="-6"/>
          <w:sz w:val="30"/>
          <w:szCs w:val="30"/>
        </w:rPr>
        <w:t xml:space="preserve">, которая формирует от 15,1% ВРП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до 40,6%</w:t>
      </w:r>
      <w:r w:rsidR="00231B78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 xml:space="preserve">– в Минской области. В 2019 году отрасль внесла </w:t>
      </w:r>
      <w:r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:rsidR="0085571B" w:rsidRDefault="0085571B" w:rsidP="008557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оказали предприятия по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Гомельской (100,8%) и Гродненской (100,6%). В Могилевской области промышленное производство сложилось на уровне 100% к 2018 году. 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lastRenderedPageBreak/>
        <w:t xml:space="preserve">Справочно. 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За 2019 год индекс промышленного производства составил: в Витебской области – 99,3% к 2018 году,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г</w:t>
      </w:r>
      <w:proofErr w:type="gramStart"/>
      <w:r>
        <w:rPr>
          <w:rFonts w:ascii="Times New Roman" w:hAnsi="Times New Roman"/>
          <w:i/>
          <w:spacing w:val="-6"/>
          <w:sz w:val="28"/>
          <w:szCs w:val="30"/>
        </w:rPr>
        <w:t>.М</w:t>
      </w:r>
      <w:proofErr w:type="gramEnd"/>
      <w:r>
        <w:rPr>
          <w:rFonts w:ascii="Times New Roman" w:hAnsi="Times New Roman"/>
          <w:i/>
          <w:spacing w:val="-6"/>
          <w:sz w:val="28"/>
          <w:szCs w:val="30"/>
        </w:rPr>
        <w:t>инске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– 99,7%.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Промышленный потенциал 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Зельвенского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 района представлен районным унитарным предприятием жилищно-коммунального хозяйства, производственными цехами 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Зельвенского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 филиала Гродненского областного потребительского общества (хлебопечения, производство колбасных, мясных  и кондитерских изделий) и районного унитарного предприятия (производство швейных и трикотажных изделий).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Производство промышленной продукции осуществляют также субъекты малого предпринимательства.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Успешно работают такие предприятия как общество с ограниченной ответственностью «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Зилант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» </w:t>
      </w:r>
      <w:proofErr w:type="gram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и  ООО</w:t>
      </w:r>
      <w:proofErr w:type="gram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 «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ФорГлэйд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».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ООО «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Зилант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» в 2018 году введен в эксплуатацию 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ветропарк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, включающий  в себя шесть ветроэнергетических установок общей мощностью 9,9 мегаватт и электрическую подстанцию.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ООО «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ФорГлэйд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» производит продукцию деревообработки.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В августе 2019 года закрытым акционерным обществом «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Рапсинторг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» на территории района создано 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экспортоориентированное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 производство масла рапсового. На производстве  занято 11 человек. Продукция ежемесячно отгружается   на экспорт.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ООО «Грибница» ведет работу по созданию производства грибов. Под реализацию проекта  обществу открытым акционерным обществом «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Зельвенская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 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сельхозхимия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» передано в безвозмездное пользование под оформленные договором обязательства по созданию рабочих мест неиспользуемое имущество – здание склада</w:t>
      </w:r>
      <w:proofErr w:type="gram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 .</w:t>
      </w:r>
      <w:proofErr w:type="gram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  В ходе реализации проекта планируется ввести в эксплуатацию 3 секций по выращиванию грибов. Планируется создание 20-ти рабочих мест.</w:t>
      </w:r>
    </w:p>
    <w:p w:rsidR="00443EF3" w:rsidRDefault="00443EF3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</w:p>
    <w:p w:rsidR="0085571B" w:rsidRDefault="0085571B" w:rsidP="0085571B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А.Г.Лукашенко: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>
        <w:rPr>
          <w:rFonts w:ascii="Times New Roman" w:hAnsi="Times New Roman"/>
          <w:iCs/>
          <w:spacing w:val="-4"/>
          <w:sz w:val="30"/>
          <w:szCs w:val="30"/>
        </w:rPr>
        <w:t>».</w:t>
      </w:r>
      <w:r>
        <w:rPr>
          <w:rFonts w:ascii="Trebuchet MS" w:hAnsi="Trebuchet MS"/>
          <w:color w:val="323130"/>
          <w:sz w:val="21"/>
          <w:szCs w:val="21"/>
          <w:shd w:val="clear" w:color="auto" w:fill="FFFFFF"/>
        </w:rPr>
        <w:t xml:space="preserve">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 (19,4%) и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Минская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Наиболее </w:t>
      </w:r>
      <w:r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производство этой продукции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сельхозорганизациях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региона выросло на 5,4% к 2018 году. С приростом в животноводстве по итогам 2019 года также сработали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сельхозорганизации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Минской (на 2,8% к 2018 году) и Гродненской (на 0,9%) областей.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Наличие высокопродуктивных земель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>
        <w:rPr>
          <w:rFonts w:ascii="Times New Roman" w:hAnsi="Times New Roman"/>
          <w:spacing w:val="-6"/>
          <w:sz w:val="30"/>
          <w:szCs w:val="30"/>
        </w:rPr>
        <w:t>, кроме Гомельской. «Год был хороший. Не идеальный – хороший», – отметил Глава государства.</w:t>
      </w:r>
    </w:p>
    <w:p w:rsidR="00443EF3" w:rsidRDefault="0085571B" w:rsidP="00443EF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  <w:r w:rsidR="00443EF3" w:rsidRPr="00443EF3">
        <w:rPr>
          <w:rFonts w:ascii="Times New Roman" w:hAnsi="Times New Roman"/>
          <w:color w:val="FF0000"/>
          <w:sz w:val="30"/>
          <w:szCs w:val="30"/>
          <w:lang w:eastAsia="ru-RU"/>
        </w:rPr>
        <w:t xml:space="preserve">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lastRenderedPageBreak/>
        <w:t xml:space="preserve">В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Зельвенском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 районе на 1 января 2020 г.  производством сельскохозяйственной продукции занимались 8 сельскохозяйственных организаций, 8 крестьянских (фермерских) хозяйств.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По состоянию на 1 января 2020 года общая площадь сельхозугодий хозяйств  составила 56354 га, пашни – 38671 га, лугопастбищных угодий – 17683 га.  В фермерском секторе  земельные угодья занимают  691 га, из них 538 га пашни, 113 га под постоянными культурами, 40 га луговые угодья, 1 га – сады. Основным направлением производственной деятельности фермерских хозяйств является сфера растениеводства, рыбоводства и оказание услуг.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 </w:t>
      </w:r>
      <w:proofErr w:type="gram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В </w:t>
      </w:r>
      <w:proofErr w:type="spellStart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>Зельвенском</w:t>
      </w:r>
      <w:proofErr w:type="spellEnd"/>
      <w:r w:rsidRPr="00443EF3">
        <w:rPr>
          <w:rFonts w:ascii="Times New Roman" w:hAnsi="Times New Roman"/>
          <w:b/>
          <w:i/>
          <w:spacing w:val="-6"/>
          <w:sz w:val="30"/>
          <w:szCs w:val="30"/>
        </w:rPr>
        <w:t xml:space="preserve"> районе за 2016-2019 годы производство продукции сельского хозяйства в хозяйствах всех категорий увеличилось на 18,8%. При этом производство продукции животноводства увеличилось на 17,5%, растениеводства – на 20,5%. В 2019 году в сельскохозяйственных организация района производство продукции увеличилось на 21,5% по сравнению с соответствующим периодом 2018 года.</w:t>
      </w:r>
      <w:proofErr w:type="gramEnd"/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43EF3">
        <w:rPr>
          <w:rFonts w:ascii="Times New Roman" w:hAnsi="Times New Roman"/>
          <w:b/>
          <w:i/>
          <w:sz w:val="30"/>
          <w:szCs w:val="30"/>
          <w:u w:val="single"/>
          <w:lang w:eastAsia="ru-RU"/>
        </w:rPr>
        <w:t xml:space="preserve">В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  <w:u w:val="single"/>
          <w:lang w:eastAsia="ru-RU"/>
        </w:rPr>
        <w:t>Зельвенском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  <w:u w:val="single"/>
          <w:lang w:eastAsia="ru-RU"/>
        </w:rPr>
        <w:t xml:space="preserve"> районе</w:t>
      </w: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 в 2019 году: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Намолочено 85,3т (177,5% к 2018 году) при урожайности  46,1 ц/га;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намолочено 10,6 тыс. тонн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маслосемян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 рапса (191,7% к прошлому году), при средней урожайности 29,6 ц/га;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proofErr w:type="gramStart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Убрано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курузы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 на зерно 1866 га намолочено</w:t>
      </w:r>
      <w:proofErr w:type="gramEnd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 15,5 тыс. тонн (</w:t>
      </w:r>
      <w:r w:rsidRPr="00443EF3">
        <w:rPr>
          <w:rFonts w:ascii="Times New Roman" w:hAnsi="Times New Roman"/>
          <w:b/>
          <w:i/>
          <w:sz w:val="30"/>
          <w:szCs w:val="30"/>
        </w:rPr>
        <w:t>198,1% к аналогичному периоду прошлого года</w:t>
      </w: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)</w:t>
      </w:r>
      <w:r w:rsidRPr="00443EF3">
        <w:rPr>
          <w:b/>
          <w:i/>
        </w:rPr>
        <w:t xml:space="preserve"> </w:t>
      </w:r>
      <w:r w:rsidRPr="00443EF3">
        <w:rPr>
          <w:rFonts w:ascii="Times New Roman" w:hAnsi="Times New Roman"/>
          <w:b/>
          <w:i/>
          <w:sz w:val="30"/>
          <w:szCs w:val="30"/>
        </w:rPr>
        <w:t>при урожайности</w:t>
      </w:r>
      <w:r w:rsidRPr="00443EF3">
        <w:rPr>
          <w:b/>
          <w:i/>
        </w:rPr>
        <w:t xml:space="preserve"> </w:t>
      </w: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82,9 ц/га;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Накопано картофеля 4,1 тыс. тонн (117,3% к  аналогичному периода 2018 года</w:t>
      </w:r>
      <w:proofErr w:type="gramStart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 )</w:t>
      </w:r>
      <w:proofErr w:type="gramEnd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;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сахарной свеклы накопано 49,9 тыс. тонн корнеплодов (в 2018 году –  49,6 тыс. тонн) при урожайности 531 ц/га;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государственный заказ на поставку сырья урожая 2019 года для перерабатывающих организаций в части поставок продовольственного зерна выполнен в объеме 8,7 тыс. тонн (102%), пивоваренного ячменя – 0,5 тыс. тонн (91,0%),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маслосемян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 рапса – 2,7 тыс. тонн (100%), сахарной свеклы – 14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тыс</w:t>
      </w:r>
      <w:proofErr w:type="gramStart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.т</w:t>
      </w:r>
      <w:proofErr w:type="gramEnd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онн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 (100%).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По состоянию на 1 декабря 2019 г. из урожая текущего года заготовлено: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кормовых единиц травяных кормов для общественного животноводства  86,3 тыс. тонн (134% к соответствующему периоду 2017 года) или 30,7 центнера кормовых единиц на 1 условную голову скота (132,9% к 2018 году или плюс 7,6 ц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к.е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.);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lastRenderedPageBreak/>
        <w:t xml:space="preserve">заготовлено 6266 т сена (82,2% к 2018 году), 105224 т сенажа (107,1%), 169725 т силоса (153,2%), 18775 т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зерносенажа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 (271,4%)..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 xml:space="preserve">В оптимальные агротехнические сроки проведен сев озимых крестоцветных культур  (посеяно 3693 га, или </w:t>
      </w: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br/>
        <w:t>103,3% к прошлому году). Озимые зерновые культуры на зерно и зеленый корм посеяны на площади  11,9 тыс. га или 107,3 % к уровню прошлого года.</w:t>
      </w:r>
    </w:p>
    <w:p w:rsidR="0085571B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sz w:val="30"/>
          <w:szCs w:val="30"/>
          <w:lang w:eastAsia="ru-RU"/>
        </w:rPr>
        <w:t>На 1 января 2020 г. численность крупного рогатого скота  составила 38,4 тыс. голов (101% к соответствующей дате прошлого года), свиней – 35,4 тыс. голов (96,4%).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Брестской (16,9% к республиканскому объему) и Минской (31,1%)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жилья (116,6% к 2018 году); в наибольших объемах – в Брестской (24,8%), Минской (18,4%) и Гомельской (15,9%)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(102,5% к 2018 году). Наибольшие объемы такого жилья также введены в Минской (44,6%), Брестской (18,3%) и Гомельской (11,6%)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основном это обусловлено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i/>
          <w:spacing w:val="-6"/>
          <w:sz w:val="28"/>
          <w:szCs w:val="28"/>
        </w:rPr>
        <w:lastRenderedPageBreak/>
        <w:t xml:space="preserve">В 2019 году в стране было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, в том числе в Брестской области – 19 объектов, Витебской – 16, Гомельской – 19, Гродненской – 11, Минской – 10, Могилевской области – 10 объектов, </w:t>
      </w:r>
      <w:proofErr w:type="spellStart"/>
      <w:r>
        <w:rPr>
          <w:rFonts w:ascii="Times New Roman" w:eastAsia="Arial Unicode MS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– 2.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eastAsia="Arial Unicode MS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>
        <w:rPr>
          <w:rFonts w:ascii="Times New Roman" w:hAnsi="Times New Roman"/>
          <w:spacing w:val="-6"/>
          <w:sz w:val="30"/>
          <w:szCs w:val="30"/>
        </w:rPr>
        <w:t>, – отмечал Глава государства.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Продолжают свое развитие внемагазинные формы продаж, в том числе </w:t>
      </w:r>
      <w:proofErr w:type="spellStart"/>
      <w:r>
        <w:rPr>
          <w:rFonts w:ascii="Times New Roman" w:eastAsia="Arial Unicode MS" w:hAnsi="Times New Roman"/>
          <w:spacing w:val="-6"/>
          <w:sz w:val="30"/>
          <w:szCs w:val="30"/>
        </w:rPr>
        <w:t>интернет-торговля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>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</w:rPr>
      </w:pPr>
      <w:r w:rsidRPr="00443EF3">
        <w:rPr>
          <w:rFonts w:ascii="Times New Roman" w:hAnsi="Times New Roman"/>
          <w:b/>
          <w:i/>
          <w:sz w:val="30"/>
        </w:rPr>
        <w:t xml:space="preserve">Торговое обслуживание населения </w:t>
      </w:r>
      <w:proofErr w:type="spellStart"/>
      <w:r w:rsidRPr="00443EF3">
        <w:rPr>
          <w:rFonts w:ascii="Times New Roman" w:hAnsi="Times New Roman"/>
          <w:b/>
          <w:i/>
          <w:sz w:val="30"/>
        </w:rPr>
        <w:t>Зельвенского</w:t>
      </w:r>
      <w:proofErr w:type="spellEnd"/>
      <w:r w:rsidRPr="00443EF3">
        <w:rPr>
          <w:rFonts w:ascii="Times New Roman" w:hAnsi="Times New Roman"/>
          <w:b/>
          <w:i/>
          <w:sz w:val="30"/>
        </w:rPr>
        <w:t xml:space="preserve"> района обеспечивают 95 объектов розничной торговли, из них – 38 в сельской местности. Кроме того, сельское население района – это более 3,0 тысяч жителей обслуживаются 5 автомагазинами.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</w:rPr>
      </w:pPr>
      <w:r w:rsidRPr="00443EF3">
        <w:rPr>
          <w:rFonts w:ascii="Times New Roman" w:hAnsi="Times New Roman"/>
          <w:b/>
          <w:i/>
          <w:sz w:val="30"/>
        </w:rPr>
        <w:t xml:space="preserve"> В структуре розничного товарооборота наибольший удельный вес в товарообороте организаций торговли приходится на </w:t>
      </w:r>
      <w:proofErr w:type="spellStart"/>
      <w:r w:rsidRPr="00443EF3">
        <w:rPr>
          <w:rFonts w:ascii="Times New Roman" w:hAnsi="Times New Roman"/>
          <w:b/>
          <w:i/>
          <w:sz w:val="30"/>
        </w:rPr>
        <w:t>Зельвенский</w:t>
      </w:r>
      <w:proofErr w:type="spellEnd"/>
      <w:r w:rsidRPr="00443EF3">
        <w:rPr>
          <w:rFonts w:ascii="Times New Roman" w:hAnsi="Times New Roman"/>
          <w:b/>
          <w:i/>
          <w:sz w:val="30"/>
        </w:rPr>
        <w:t xml:space="preserve"> филиал Гродненского областного потребительского общества (29,9%) и  филиал</w:t>
      </w:r>
      <w:proofErr w:type="gramStart"/>
      <w:r w:rsidRPr="00443EF3">
        <w:rPr>
          <w:rFonts w:ascii="Times New Roman" w:hAnsi="Times New Roman"/>
          <w:b/>
          <w:i/>
          <w:sz w:val="30"/>
        </w:rPr>
        <w:t>а  ООО</w:t>
      </w:r>
      <w:proofErr w:type="gramEnd"/>
      <w:r w:rsidRPr="00443EF3">
        <w:rPr>
          <w:rFonts w:ascii="Times New Roman" w:hAnsi="Times New Roman"/>
          <w:b/>
          <w:i/>
          <w:sz w:val="30"/>
        </w:rPr>
        <w:t xml:space="preserve"> «</w:t>
      </w:r>
      <w:proofErr w:type="spellStart"/>
      <w:r w:rsidRPr="00443EF3">
        <w:rPr>
          <w:rFonts w:ascii="Times New Roman" w:hAnsi="Times New Roman"/>
          <w:b/>
          <w:i/>
          <w:sz w:val="30"/>
        </w:rPr>
        <w:t>Евроторг</w:t>
      </w:r>
      <w:proofErr w:type="spellEnd"/>
      <w:r w:rsidRPr="00443EF3">
        <w:rPr>
          <w:rFonts w:ascii="Times New Roman" w:hAnsi="Times New Roman"/>
          <w:b/>
          <w:i/>
          <w:sz w:val="30"/>
        </w:rPr>
        <w:t>» в г. Гродно (17,2%).</w:t>
      </w:r>
    </w:p>
    <w:p w:rsidR="00443EF3" w:rsidRPr="00443EF3" w:rsidRDefault="00443EF3" w:rsidP="00443E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</w:rPr>
      </w:pPr>
      <w:r w:rsidRPr="00443EF3">
        <w:rPr>
          <w:rFonts w:ascii="Times New Roman" w:hAnsi="Times New Roman"/>
          <w:b/>
          <w:i/>
          <w:sz w:val="30"/>
        </w:rPr>
        <w:t xml:space="preserve">За 2019 год населению района реализовано товаров на сумму 44,0 </w:t>
      </w:r>
      <w:proofErr w:type="gramStart"/>
      <w:r w:rsidRPr="00443EF3">
        <w:rPr>
          <w:rFonts w:ascii="Times New Roman" w:hAnsi="Times New Roman"/>
          <w:b/>
          <w:i/>
          <w:sz w:val="30"/>
        </w:rPr>
        <w:t>млн</w:t>
      </w:r>
      <w:proofErr w:type="gramEnd"/>
      <w:r w:rsidRPr="00443EF3">
        <w:rPr>
          <w:rFonts w:ascii="Times New Roman" w:hAnsi="Times New Roman"/>
          <w:b/>
          <w:i/>
          <w:sz w:val="30"/>
        </w:rPr>
        <w:t xml:space="preserve"> рублей, темп роста к уровню 2018 года составил 102,4%. В 2019 году в районе открыто 8 торговых объектов с торговой площадью 519,8 кв. м (в том числе 2 – в сельской местности). </w:t>
      </w:r>
    </w:p>
    <w:p w:rsidR="00443EF3" w:rsidRPr="00443EF3" w:rsidRDefault="00443EF3" w:rsidP="00443EF3">
      <w:pPr>
        <w:spacing w:after="0"/>
        <w:ind w:firstLine="720"/>
        <w:jc w:val="both"/>
        <w:rPr>
          <w:rFonts w:ascii="Times New Roman" w:hAnsi="Times New Roman"/>
          <w:b/>
          <w:i/>
          <w:sz w:val="30"/>
        </w:rPr>
      </w:pPr>
      <w:r w:rsidRPr="00443EF3">
        <w:rPr>
          <w:rFonts w:ascii="Times New Roman" w:hAnsi="Times New Roman"/>
          <w:b/>
          <w:i/>
          <w:sz w:val="30"/>
        </w:rPr>
        <w:t>В 2020 году планируется завершение строительств</w:t>
      </w:r>
      <w:proofErr w:type="gramStart"/>
      <w:r w:rsidRPr="00443EF3">
        <w:rPr>
          <w:rFonts w:ascii="Times New Roman" w:hAnsi="Times New Roman"/>
          <w:b/>
          <w:i/>
          <w:sz w:val="30"/>
        </w:rPr>
        <w:t>а ООО</w:t>
      </w:r>
      <w:proofErr w:type="gramEnd"/>
      <w:r w:rsidRPr="00443EF3">
        <w:rPr>
          <w:rFonts w:ascii="Times New Roman" w:hAnsi="Times New Roman"/>
          <w:b/>
          <w:i/>
          <w:sz w:val="30"/>
        </w:rPr>
        <w:t xml:space="preserve"> «</w:t>
      </w:r>
      <w:proofErr w:type="spellStart"/>
      <w:r w:rsidRPr="00443EF3">
        <w:rPr>
          <w:rFonts w:ascii="Times New Roman" w:hAnsi="Times New Roman"/>
          <w:b/>
          <w:i/>
          <w:sz w:val="30"/>
        </w:rPr>
        <w:t>Дабровойт</w:t>
      </w:r>
      <w:proofErr w:type="spellEnd"/>
      <w:r w:rsidRPr="00443EF3">
        <w:rPr>
          <w:rFonts w:ascii="Times New Roman" w:hAnsi="Times New Roman"/>
          <w:b/>
          <w:i/>
          <w:sz w:val="30"/>
        </w:rPr>
        <w:t xml:space="preserve">» нового торгового объекта в </w:t>
      </w:r>
      <w:proofErr w:type="spellStart"/>
      <w:r w:rsidRPr="00443EF3">
        <w:rPr>
          <w:rFonts w:ascii="Times New Roman" w:hAnsi="Times New Roman"/>
          <w:b/>
          <w:i/>
          <w:sz w:val="30"/>
        </w:rPr>
        <w:t>г.п</w:t>
      </w:r>
      <w:proofErr w:type="spellEnd"/>
      <w:r w:rsidRPr="00443EF3">
        <w:rPr>
          <w:rFonts w:ascii="Times New Roman" w:hAnsi="Times New Roman"/>
          <w:b/>
          <w:i/>
          <w:sz w:val="30"/>
        </w:rPr>
        <w:t xml:space="preserve">. Зельва с торговой площадью 270,0 кв. м, реконструкция ООО «ШЕСА-П» </w:t>
      </w:r>
      <w:r w:rsidRPr="00443EF3">
        <w:rPr>
          <w:rFonts w:ascii="Times New Roman" w:hAnsi="Times New Roman"/>
          <w:b/>
          <w:i/>
          <w:sz w:val="30"/>
        </w:rPr>
        <w:lastRenderedPageBreak/>
        <w:t>неиспользуемого здания столовой под торговый центр с общей площадью 420 кв. м.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Глава государства А.Г.Лукашенко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подчеркнул, что «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 экспортных рынков, кардинальное изменение ситуации в демографии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>
        <w:rPr>
          <w:rFonts w:ascii="Times New Roman" w:hAnsi="Times New Roman"/>
          <w:b/>
          <w:spacing w:val="-6"/>
          <w:sz w:val="30"/>
          <w:szCs w:val="30"/>
        </w:rPr>
        <w:t>рост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темп (105,7%): в Брестской (106%), Витебской (106,2%), Гомельской (115,6%), Минской (112,6%), Могилевской (109,8%).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2019 году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>
        <w:rPr>
          <w:rFonts w:ascii="Times New Roman" w:hAnsi="Times New Roman"/>
          <w:i/>
          <w:spacing w:val="-6"/>
          <w:sz w:val="28"/>
          <w:szCs w:val="28"/>
        </w:rPr>
        <w:t>: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суперконцентратов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комбикормов для молодняка сельскохозяйственных животных (ЗАО «Консул»); строительство второй очереди Западного обхода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; объекты к празднованию 1000-летия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млн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». Организация производств по промышленной переработке стекла»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средств в форме таблеток и капсул, соответствующего требованиям Надлежащей производственной практики (GMP)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Новалок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«Строительство цеха азотной кислоты мощностью 1200 тонн в сутки с реконструкцией действующего производства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карбамидо-амиачной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смеси»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ГродноАзот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lastRenderedPageBreak/>
        <w:t>района» 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Белкалий-Мигао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Смолевичского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(ЗАО «ЮНИМИТ»);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 по проспекту Шмидта, 45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г.Могилеве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Фармлэнд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«Проектирование и строительство торгового центра в районе пересечения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ул.Чечота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Каролинской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 (ОДО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Виталюр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привлечение инвестиций и трансформацию республики в настоящую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А.Г.Лукашенко </w:t>
      </w:r>
      <w:r>
        <w:rPr>
          <w:rFonts w:ascii="Times New Roman" w:hAnsi="Times New Roman"/>
          <w:b/>
          <w:spacing w:val="-6"/>
          <w:sz w:val="30"/>
          <w:szCs w:val="30"/>
        </w:rPr>
        <w:t>Декрет</w:t>
      </w:r>
      <w:r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>
        <w:rPr>
          <w:rFonts w:ascii="Times New Roman" w:hAnsi="Times New Roman"/>
          <w:b/>
          <w:spacing w:val="-6"/>
          <w:sz w:val="30"/>
          <w:szCs w:val="30"/>
        </w:rPr>
        <w:t>№ 8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>
        <w:rPr>
          <w:rFonts w:ascii="Times New Roman" w:hAnsi="Times New Roman"/>
          <w:spacing w:val="-6"/>
          <w:sz w:val="30"/>
          <w:szCs w:val="30"/>
        </w:rPr>
        <w:t>» (далее – Декрет).</w:t>
      </w:r>
      <w:r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Бремино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>
        <w:rPr>
          <w:rFonts w:ascii="Times New Roman" w:hAnsi="Times New Roman"/>
          <w:b/>
          <w:spacing w:val="-6"/>
          <w:sz w:val="30"/>
          <w:szCs w:val="30"/>
        </w:rPr>
        <w:t>1 227,4 млн долл. прямых иностранных инвестиций на чистой основе</w:t>
      </w:r>
      <w:r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(614,8 млн долл., или 50,1% от объема в целом по стране),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Минскую (281,3 млн долл., или 22,9%) и Могилевскую (104,5 млн долл., или 8,5%) области.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</w:t>
      </w:r>
      <w:proofErr w:type="gramStart"/>
      <w:r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>
        <w:rPr>
          <w:rFonts w:ascii="Times New Roman" w:hAnsi="Times New Roman"/>
          <w:i/>
          <w:spacing w:val="-6"/>
          <w:sz w:val="28"/>
          <w:szCs w:val="28"/>
        </w:rPr>
        <w:t xml:space="preserve"> долл., или 5%, Витебская – 42,5 млн долл., или 3,5%, Гомельская – 77,1 млн долл., или 6,3%, Гродненская – 45,9 млн долл., или 3,7%.</w:t>
      </w:r>
    </w:p>
    <w:p w:rsidR="00443EF3" w:rsidRPr="00443EF3" w:rsidRDefault="00443EF3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shd w:val="clear" w:color="auto" w:fill="FFFFFF"/>
        </w:rPr>
      </w:pPr>
      <w:r w:rsidRPr="00443EF3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 xml:space="preserve">В  2019 году организациями, расположенными на территории нашего района, привлечено  инвестиций в основной капитал 29,2 </w:t>
      </w:r>
      <w:proofErr w:type="gramStart"/>
      <w:r w:rsidRPr="00443EF3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млн</w:t>
      </w:r>
      <w:proofErr w:type="gramEnd"/>
      <w:r w:rsidRPr="00443EF3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 xml:space="preserve"> рублей, или 116,4% к уровню 2018 года.</w:t>
      </w:r>
    </w:p>
    <w:p w:rsidR="00443EF3" w:rsidRPr="00443EF3" w:rsidRDefault="00443EF3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shd w:val="clear" w:color="auto" w:fill="FFFFFF"/>
        </w:rPr>
      </w:pPr>
      <w:r w:rsidRPr="00443EF3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 xml:space="preserve">Основной объем инвестиций пришелся на приобретение машин, оборудования, транспортных средств (9,5 </w:t>
      </w:r>
      <w:proofErr w:type="gramStart"/>
      <w:r w:rsidRPr="00443EF3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млн</w:t>
      </w:r>
      <w:proofErr w:type="gramEnd"/>
      <w:r w:rsidRPr="00443EF3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 xml:space="preserve"> рублей, или 32,5% от общего объема инвестиций), с</w:t>
      </w:r>
      <w:r w:rsidRPr="00443EF3">
        <w:rPr>
          <w:rFonts w:ascii="Times New Roman" w:hAnsi="Times New Roman"/>
          <w:b/>
          <w:i/>
          <w:sz w:val="30"/>
          <w:szCs w:val="30"/>
        </w:rPr>
        <w:t xml:space="preserve">троительство молочно-товарной фермы на 610 голов при деревне (далее – д.) Тулово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Зельвенского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 xml:space="preserve"> района, </w:t>
      </w:r>
      <w:r w:rsidRPr="00443EF3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 xml:space="preserve">индивидуальное жилищное строительство, реконструкцию и строительство производственных объектов в сельскохозяйственных организациях района, реконструкцию улицы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Карбышева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 xml:space="preserve"> городского поселка Зельва. </w:t>
      </w:r>
    </w:p>
    <w:p w:rsidR="00443EF3" w:rsidRPr="00443EF3" w:rsidRDefault="00443EF3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30"/>
          <w:szCs w:val="30"/>
        </w:rPr>
      </w:pPr>
      <w:r w:rsidRPr="00443EF3">
        <w:rPr>
          <w:rFonts w:ascii="Times New Roman" w:hAnsi="Times New Roman"/>
          <w:b/>
          <w:i/>
          <w:sz w:val="30"/>
          <w:szCs w:val="30"/>
        </w:rPr>
        <w:t xml:space="preserve">В рамках реализации инвестиционной программы Гродненской области на 2019 год, построено 3 станции обезжелезивания в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агрогородках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 xml:space="preserve"> Деречин, Голынка,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Словатичи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 xml:space="preserve"> и начат капитальный ремонт с модернизацией бани по ул.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Шаповалова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 xml:space="preserve">, 8 в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г.п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 xml:space="preserve">. Зельва, </w:t>
      </w:r>
      <w:r w:rsidRPr="00443EF3">
        <w:rPr>
          <w:rFonts w:ascii="Times New Roman" w:hAnsi="Times New Roman"/>
          <w:b/>
          <w:i/>
          <w:iCs/>
          <w:sz w:val="30"/>
          <w:szCs w:val="30"/>
        </w:rPr>
        <w:t xml:space="preserve">освоено бюджетных средств 670 тыс. рублей.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30"/>
          <w:szCs w:val="30"/>
        </w:rPr>
      </w:pPr>
      <w:r w:rsidRPr="00443EF3">
        <w:rPr>
          <w:rFonts w:ascii="Times New Roman" w:hAnsi="Times New Roman"/>
          <w:b/>
          <w:i/>
          <w:spacing w:val="-4"/>
          <w:sz w:val="30"/>
          <w:szCs w:val="30"/>
        </w:rPr>
        <w:t xml:space="preserve">На развитие экономики района в 2020 году планируется направить более 31 </w:t>
      </w:r>
      <w:proofErr w:type="gramStart"/>
      <w:r w:rsidRPr="00443EF3">
        <w:rPr>
          <w:rFonts w:ascii="Times New Roman" w:hAnsi="Times New Roman"/>
          <w:b/>
          <w:i/>
          <w:spacing w:val="-4"/>
          <w:sz w:val="30"/>
          <w:szCs w:val="30"/>
        </w:rPr>
        <w:t>млн</w:t>
      </w:r>
      <w:proofErr w:type="gramEnd"/>
      <w:r w:rsidRPr="00443EF3">
        <w:rPr>
          <w:rFonts w:ascii="Times New Roman" w:hAnsi="Times New Roman"/>
          <w:b/>
          <w:i/>
          <w:spacing w:val="-4"/>
          <w:sz w:val="30"/>
          <w:szCs w:val="30"/>
        </w:rPr>
        <w:t xml:space="preserve"> рублей инвестиций. </w:t>
      </w:r>
    </w:p>
    <w:p w:rsidR="00443EF3" w:rsidRPr="00443EF3" w:rsidRDefault="00443EF3" w:rsidP="00443E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443EF3">
        <w:rPr>
          <w:rFonts w:ascii="Times New Roman" w:hAnsi="Times New Roman"/>
          <w:b/>
          <w:i/>
          <w:sz w:val="30"/>
          <w:szCs w:val="30"/>
        </w:rPr>
        <w:t xml:space="preserve"> Более 60% инвестиций предусматривается привлечь в сельское хозяйство. </w:t>
      </w:r>
      <w:r w:rsidRPr="00443EF3">
        <w:rPr>
          <w:rFonts w:ascii="Times New Roman" w:hAnsi="Times New Roman"/>
          <w:b/>
          <w:i/>
          <w:iCs/>
          <w:sz w:val="30"/>
          <w:szCs w:val="30"/>
        </w:rPr>
        <w:t>ООО</w:t>
      </w:r>
      <w:r w:rsidRPr="00443EF3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443EF3">
        <w:rPr>
          <w:rFonts w:ascii="Times New Roman" w:hAnsi="Times New Roman"/>
          <w:b/>
          <w:i/>
          <w:iCs/>
          <w:sz w:val="30"/>
          <w:szCs w:val="30"/>
        </w:rPr>
        <w:t>«</w:t>
      </w:r>
      <w:proofErr w:type="spellStart"/>
      <w:r w:rsidRPr="00443EF3">
        <w:rPr>
          <w:rFonts w:ascii="Times New Roman" w:hAnsi="Times New Roman"/>
          <w:b/>
          <w:i/>
          <w:iCs/>
          <w:sz w:val="30"/>
          <w:szCs w:val="30"/>
        </w:rPr>
        <w:t>Биоком</w:t>
      </w:r>
      <w:proofErr w:type="spellEnd"/>
      <w:r w:rsidRPr="00443EF3">
        <w:rPr>
          <w:rFonts w:ascii="Times New Roman" w:hAnsi="Times New Roman"/>
          <w:b/>
          <w:i/>
          <w:iCs/>
          <w:sz w:val="30"/>
          <w:szCs w:val="30"/>
        </w:rPr>
        <w:t xml:space="preserve">» планируется  </w:t>
      </w:r>
      <w:r w:rsidRPr="00443EF3">
        <w:rPr>
          <w:rFonts w:ascii="Times New Roman" w:hAnsi="Times New Roman"/>
          <w:b/>
          <w:i/>
          <w:spacing w:val="-4"/>
          <w:sz w:val="30"/>
          <w:szCs w:val="30"/>
        </w:rPr>
        <w:t xml:space="preserve"> завершение строительства </w:t>
      </w:r>
      <w:proofErr w:type="spellStart"/>
      <w:r w:rsidRPr="00443EF3">
        <w:rPr>
          <w:rFonts w:ascii="Times New Roman" w:hAnsi="Times New Roman"/>
          <w:b/>
          <w:i/>
          <w:spacing w:val="-4"/>
          <w:sz w:val="30"/>
          <w:szCs w:val="30"/>
        </w:rPr>
        <w:t>молочнотоварной</w:t>
      </w:r>
      <w:proofErr w:type="spellEnd"/>
      <w:r w:rsidRPr="00443EF3">
        <w:rPr>
          <w:rFonts w:ascii="Times New Roman" w:hAnsi="Times New Roman"/>
          <w:b/>
          <w:i/>
          <w:spacing w:val="-4"/>
          <w:sz w:val="30"/>
          <w:szCs w:val="30"/>
        </w:rPr>
        <w:t xml:space="preserve"> фермы на 1100 голов при д. Тулово, и начать строительство МТФ на 777 голов в </w:t>
      </w:r>
      <w:proofErr w:type="spellStart"/>
      <w:r w:rsidRPr="00443EF3">
        <w:rPr>
          <w:rFonts w:ascii="Times New Roman" w:hAnsi="Times New Roman"/>
          <w:b/>
          <w:i/>
          <w:spacing w:val="-4"/>
          <w:sz w:val="30"/>
          <w:szCs w:val="30"/>
        </w:rPr>
        <w:t>агр</w:t>
      </w:r>
      <w:proofErr w:type="spellEnd"/>
      <w:r w:rsidRPr="00443EF3">
        <w:rPr>
          <w:rFonts w:ascii="Times New Roman" w:hAnsi="Times New Roman"/>
          <w:b/>
          <w:i/>
          <w:spacing w:val="-4"/>
          <w:sz w:val="30"/>
          <w:szCs w:val="30"/>
        </w:rPr>
        <w:t>. Деречин</w:t>
      </w:r>
      <w:r w:rsidRPr="00443EF3">
        <w:rPr>
          <w:rFonts w:ascii="Times New Roman" w:hAnsi="Times New Roman"/>
          <w:b/>
          <w:i/>
          <w:sz w:val="30"/>
          <w:szCs w:val="30"/>
        </w:rPr>
        <w:t xml:space="preserve">. </w:t>
      </w:r>
    </w:p>
    <w:p w:rsidR="00443EF3" w:rsidRPr="00443EF3" w:rsidRDefault="00443EF3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443EF3">
        <w:rPr>
          <w:rFonts w:ascii="Times New Roman" w:hAnsi="Times New Roman"/>
          <w:b/>
          <w:i/>
          <w:sz w:val="30"/>
          <w:szCs w:val="30"/>
        </w:rPr>
        <w:t>Республиканским унитарным предприятием «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Гродноавтодор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>» планируется реконструкция автодороги  Р-50 Мосты-Зельва-Ружаны.</w:t>
      </w:r>
    </w:p>
    <w:p w:rsidR="00443EF3" w:rsidRPr="00443EF3" w:rsidRDefault="00443EF3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Зельвенским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 xml:space="preserve"> районным унитарным предприятием жилищно-коммунального хозяйства будет  продолжено строительство 4-х станций обезжелезивания в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агрогородках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 xml:space="preserve"> Елка, Кошели,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Каролино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 xml:space="preserve">,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Князево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 xml:space="preserve">. </w:t>
      </w:r>
    </w:p>
    <w:p w:rsidR="00443EF3" w:rsidRPr="00443EF3" w:rsidRDefault="00443EF3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443EF3">
        <w:rPr>
          <w:rFonts w:ascii="Times New Roman" w:hAnsi="Times New Roman"/>
          <w:b/>
          <w:i/>
          <w:sz w:val="30"/>
          <w:szCs w:val="30"/>
        </w:rPr>
        <w:t xml:space="preserve">На строительство индивидуального жилья будет направлено 1,3 млн. рублей, планируется ввести в эксплуатацию 1,3 тыс. кв. м. </w:t>
      </w:r>
    </w:p>
    <w:p w:rsidR="00443EF3" w:rsidRDefault="00443EF3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</w:p>
    <w:p w:rsidR="00443EF3" w:rsidRDefault="00443EF3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</w:p>
    <w:p w:rsidR="00443EF3" w:rsidRDefault="00443EF3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lastRenderedPageBreak/>
        <w:t>Предпринимательство и деловая активность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на 1 тыс. действующих юридических лиц – субъектов малого и среднего предпринимательства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:rsidR="0085571B" w:rsidRDefault="0085571B" w:rsidP="0085571B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составляет более 40%, в Минской области – около 32%.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:rsidR="0085571B" w:rsidRDefault="0085571B" w:rsidP="0085571B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:rsidR="0085571B" w:rsidRDefault="0085571B" w:rsidP="0085571B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По решению Правительства Республики Беларусь (постановление Совета Министров </w:t>
      </w:r>
      <w:r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развития малого и среднего предпринимательства «Беларусь – страна успешного предпринимательства» на период до 2030 года.</w:t>
      </w:r>
    </w:p>
    <w:p w:rsidR="0085571B" w:rsidRDefault="0085571B" w:rsidP="0085571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>
        <w:rPr>
          <w:rFonts w:ascii="Times New Roman" w:hAnsi="Times New Roman"/>
          <w:b/>
          <w:spacing w:val="-6"/>
          <w:sz w:val="30"/>
          <w:szCs w:val="30"/>
          <w:lang w:bidi="en-US"/>
        </w:rPr>
        <w:t>сеть субъектов инфраструктуры поддержки предпринимательства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t>. По состоянию на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br/>
      </w:r>
      <w:r>
        <w:rPr>
          <w:rFonts w:ascii="Times New Roman" w:hAnsi="Times New Roman"/>
          <w:spacing w:val="-6"/>
          <w:sz w:val="30"/>
          <w:szCs w:val="30"/>
        </w:rPr>
        <w:t>1 января 2020 г. в стране действовало 109 центров поддержки предпринимательства и 26 инкубаторов малого предпринимательства.</w:t>
      </w:r>
    </w:p>
    <w:p w:rsidR="0085571B" w:rsidRDefault="0085571B" w:rsidP="0085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микро-, малых и средних предприятий, а также иных предприятий, нацеленных на решение социально-значимых проблем.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Браславский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Оршанский, Брагинский,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Жлобинский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Хойникский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Лидский,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Борисовский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Молодечненский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Быховский,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Хотимский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 xml:space="preserve">«Содействие занятости и </w:t>
      </w:r>
      <w:proofErr w:type="spellStart"/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 xml:space="preserve"> населения в малых и средних городах Республики Беларусь»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В рамках данного проекта на отобранных 6 пилотных площадках планируется создание центров поддержки предпринимательства (Витебская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г.Глубокое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Могилевская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г.Кричев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г.Чаусы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г.Горки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г.Мстиславль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:rsidR="0085571B" w:rsidRDefault="0085571B" w:rsidP="0085571B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 беспрецедентной поддержке предпринимательства и деловой активности в республике однозначно заявил Глава государства А.Г.Лукашенко: «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(трудно найти такую страну): в течение дня зарегистрировался и </w:t>
      </w:r>
      <w:proofErr w:type="gramStart"/>
      <w:r>
        <w:rPr>
          <w:rFonts w:ascii="Times New Roman" w:hAnsi="Times New Roman"/>
          <w:b/>
          <w:sz w:val="30"/>
          <w:szCs w:val="30"/>
          <w:shd w:val="clear" w:color="auto" w:fill="FFFFFF"/>
        </w:rPr>
        <w:t>иди</w:t>
      </w:r>
      <w:proofErr w:type="gramEnd"/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работай</w:t>
      </w:r>
      <w:r>
        <w:rPr>
          <w:rFonts w:ascii="Times New Roman" w:hAnsi="Times New Roman"/>
          <w:spacing w:val="-6"/>
          <w:sz w:val="30"/>
          <w:szCs w:val="30"/>
        </w:rPr>
        <w:t>».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443EF3">
        <w:rPr>
          <w:rFonts w:ascii="Times New Roman" w:hAnsi="Times New Roman"/>
          <w:b/>
          <w:i/>
          <w:sz w:val="30"/>
          <w:szCs w:val="30"/>
        </w:rPr>
        <w:t xml:space="preserve">В районе по состоянию на 1 января 2020 года осуществляли деятельность 57 субъектов малого и среднего предпринимательства. В 2020 году малыми предприятиями планируется создание новых производств: по выращиванию шампиньонов, открытие сборочного цеха зерновых сеялок. ООО «СПГ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Зилант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 xml:space="preserve">» прорабатывает вопрос создания производства, </w:t>
      </w:r>
      <w:r w:rsidRPr="00443EF3">
        <w:rPr>
          <w:rFonts w:ascii="Times New Roman" w:hAnsi="Times New Roman"/>
          <w:b/>
          <w:i/>
          <w:sz w:val="30"/>
          <w:szCs w:val="30"/>
        </w:rPr>
        <w:lastRenderedPageBreak/>
        <w:t xml:space="preserve">связанного с природным сжиженным газом, с заключением инвестиционного договора.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443EF3">
        <w:rPr>
          <w:rFonts w:ascii="Times New Roman" w:hAnsi="Times New Roman"/>
          <w:b/>
          <w:i/>
          <w:sz w:val="30"/>
          <w:szCs w:val="30"/>
        </w:rPr>
        <w:t xml:space="preserve">Предпринимательскую деятельность в районе осуществляют </w:t>
      </w:r>
      <w:r w:rsidRPr="00443EF3">
        <w:rPr>
          <w:rFonts w:ascii="Times New Roman" w:hAnsi="Times New Roman"/>
          <w:b/>
          <w:i/>
          <w:sz w:val="30"/>
          <w:szCs w:val="30"/>
        </w:rPr>
        <w:br/>
        <w:t xml:space="preserve">198 индивидуальных предпринимателей. В 2019 году </w:t>
      </w:r>
      <w:r w:rsidRPr="00443EF3">
        <w:rPr>
          <w:rFonts w:ascii="Times New Roman" w:hAnsi="Times New Roman"/>
          <w:b/>
          <w:i/>
          <w:sz w:val="30"/>
          <w:szCs w:val="30"/>
        </w:rPr>
        <w:br/>
        <w:t xml:space="preserve">прекратили деятельность 22 </w:t>
      </w:r>
      <w:proofErr w:type="gramStart"/>
      <w:r w:rsidRPr="00443EF3">
        <w:rPr>
          <w:rFonts w:ascii="Times New Roman" w:hAnsi="Times New Roman"/>
          <w:b/>
          <w:i/>
          <w:sz w:val="30"/>
          <w:szCs w:val="30"/>
        </w:rPr>
        <w:t>индивидуальных</w:t>
      </w:r>
      <w:proofErr w:type="gramEnd"/>
      <w:r w:rsidRPr="00443EF3">
        <w:rPr>
          <w:rFonts w:ascii="Times New Roman" w:hAnsi="Times New Roman"/>
          <w:b/>
          <w:i/>
          <w:sz w:val="30"/>
          <w:szCs w:val="30"/>
        </w:rPr>
        <w:t xml:space="preserve"> предпринимателя, зарегистрировано – 25.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443EF3">
        <w:rPr>
          <w:rFonts w:ascii="Times New Roman" w:hAnsi="Times New Roman"/>
          <w:b/>
          <w:i/>
          <w:sz w:val="30"/>
          <w:szCs w:val="30"/>
        </w:rPr>
        <w:t>Удельный вес платежей субъектов малого предпринимательства в консолидированный бюджет района в 2019 году составил 25,1% (плюс 15,8 п. п.  к уровню 2018 года).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443EF3">
        <w:rPr>
          <w:rFonts w:ascii="Times New Roman" w:hAnsi="Times New Roman"/>
          <w:b/>
          <w:i/>
          <w:sz w:val="30"/>
          <w:szCs w:val="30"/>
        </w:rPr>
        <w:t xml:space="preserve">По состоянию на  1 января 2020 г. в районе осуществляли деятельность без регистрации в качестве индивидуальных предпринимателей 107 физических лиц, осуществляли ремесленную деятельность 64 человека.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443EF3">
        <w:rPr>
          <w:rFonts w:ascii="Times New Roman" w:hAnsi="Times New Roman"/>
          <w:b/>
          <w:i/>
          <w:sz w:val="30"/>
          <w:szCs w:val="30"/>
        </w:rPr>
        <w:t xml:space="preserve">На территории района зарегистрировано 9 субъектов </w:t>
      </w:r>
      <w:proofErr w:type="spellStart"/>
      <w:r w:rsidRPr="00443EF3">
        <w:rPr>
          <w:rFonts w:ascii="Times New Roman" w:hAnsi="Times New Roman"/>
          <w:b/>
          <w:i/>
          <w:sz w:val="30"/>
          <w:szCs w:val="30"/>
        </w:rPr>
        <w:t>агроэкотуризма</w:t>
      </w:r>
      <w:proofErr w:type="spellEnd"/>
      <w:r w:rsidRPr="00443EF3">
        <w:rPr>
          <w:rFonts w:ascii="Times New Roman" w:hAnsi="Times New Roman"/>
          <w:b/>
          <w:i/>
          <w:sz w:val="30"/>
          <w:szCs w:val="30"/>
        </w:rPr>
        <w:t xml:space="preserve">.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</w:rPr>
      </w:pPr>
      <w:r w:rsidRPr="00443EF3">
        <w:rPr>
          <w:rFonts w:ascii="Times New Roman" w:hAnsi="Times New Roman"/>
          <w:b/>
          <w:i/>
          <w:sz w:val="30"/>
        </w:rPr>
        <w:t xml:space="preserve">В 2020 году будет продолжена работа по созданию благоприятных условий для развития предпринимательства, активизации предпринимательской инициативы населения района, реализации местных инициатив, обучению старшеклассников основам предпринимательства, росту числа субъектов малого и среднего предпринимательства, улучшению делового имиджа района.  </w:t>
      </w:r>
    </w:p>
    <w:p w:rsidR="00443EF3" w:rsidRDefault="00443EF3" w:rsidP="0085571B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>
        <w:rPr>
          <w:rFonts w:ascii="Times New Roman" w:hAnsi="Times New Roman"/>
          <w:spacing w:val="-6"/>
          <w:sz w:val="30"/>
          <w:szCs w:val="30"/>
        </w:rPr>
        <w:br/>
        <w:t xml:space="preserve">32,9 млрд долл., или </w:t>
      </w:r>
      <w:r>
        <w:rPr>
          <w:rFonts w:ascii="Times New Roman" w:hAnsi="Times New Roman"/>
          <w:b/>
          <w:spacing w:val="-6"/>
          <w:sz w:val="30"/>
          <w:szCs w:val="30"/>
        </w:rPr>
        <w:t>97,1%</w:t>
      </w:r>
      <w:r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>
        <w:rPr>
          <w:rFonts w:ascii="Times New Roman" w:hAnsi="Times New Roman"/>
          <w:spacing w:val="-6"/>
          <w:sz w:val="30"/>
          <w:szCs w:val="30"/>
        </w:rPr>
        <w:t xml:space="preserve"> в объеме экспорта товаров страны приходится на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(34,7%), </w:t>
      </w:r>
      <w:r>
        <w:rPr>
          <w:rFonts w:ascii="Times New Roman" w:hAnsi="Times New Roman"/>
          <w:b/>
          <w:spacing w:val="-6"/>
          <w:sz w:val="30"/>
          <w:szCs w:val="30"/>
        </w:rPr>
        <w:t>Минскую</w:t>
      </w:r>
      <w:r>
        <w:rPr>
          <w:rFonts w:ascii="Times New Roman" w:hAnsi="Times New Roman"/>
          <w:spacing w:val="-6"/>
          <w:sz w:val="30"/>
          <w:szCs w:val="30"/>
        </w:rPr>
        <w:t xml:space="preserve"> (22,6%) и </w:t>
      </w:r>
      <w:r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>
        <w:rPr>
          <w:rFonts w:ascii="Times New Roman" w:hAnsi="Times New Roman"/>
          <w:spacing w:val="-6"/>
          <w:sz w:val="30"/>
          <w:szCs w:val="30"/>
        </w:rPr>
        <w:t xml:space="preserve"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5571B">
        <w:rPr>
          <w:rFonts w:ascii="Times New Roman" w:hAnsi="Times New Roman"/>
          <w:sz w:val="30"/>
          <w:szCs w:val="30"/>
          <w:shd w:val="clear" w:color="auto" w:fill="FFFFFF"/>
        </w:rPr>
        <w:t>«</w:t>
      </w:r>
      <w:r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>
        <w:rPr>
          <w:rFonts w:ascii="Times New Roman" w:hAnsi="Times New Roman"/>
          <w:spacing w:val="-6"/>
          <w:sz w:val="30"/>
          <w:szCs w:val="30"/>
        </w:rPr>
        <w:t>», – отмечал А.Г.Лукашенко.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(840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(5,6 млрд долл., или 116,3%). 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млрд долл.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Одновременно с активизацией внешнеэкономической деятельности проводится работа по рационализации объемов импорта за счет </w:t>
      </w:r>
      <w:proofErr w:type="spellStart"/>
      <w:r>
        <w:rPr>
          <w:rFonts w:ascii="Times New Roman" w:eastAsia="Arial Unicode MS" w:hAnsi="Times New Roman"/>
          <w:spacing w:val="-6"/>
          <w:sz w:val="30"/>
          <w:szCs w:val="30"/>
        </w:rPr>
        <w:t>импортозамещения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>. Привозные товарные позиции в основном представлены сырьем и материалами, не производимыми в республике.</w:t>
      </w:r>
    </w:p>
    <w:p w:rsidR="0085571B" w:rsidRDefault="0085571B" w:rsidP="0085571B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:rsidR="0085571B" w:rsidRDefault="0085571B" w:rsidP="0085571B">
      <w:pPr>
        <w:pStyle w:val="150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:rsidR="0085571B" w:rsidRDefault="0085571B" w:rsidP="0085571B">
      <w:pPr>
        <w:pStyle w:val="150"/>
        <w:ind w:firstLineChars="0" w:firstLine="709"/>
        <w:rPr>
          <w:rFonts w:eastAsia="Calibri"/>
        </w:rPr>
      </w:pPr>
      <w:r>
        <w:rPr>
          <w:spacing w:val="-6"/>
        </w:rPr>
        <w:t>Как неоднократно подчеркивал Президент Республики Беларусь А.Г.Лукашенко, «останавливаться на достигнутом недопустимо», несмотря на поступательное развитие регионов. П</w:t>
      </w:r>
      <w:r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:rsidR="0085571B" w:rsidRDefault="0085571B" w:rsidP="0085571B">
      <w:pPr>
        <w:pStyle w:val="150"/>
        <w:ind w:firstLineChars="0" w:firstLine="709"/>
        <w:rPr>
          <w:rFonts w:eastAsia="Times New Roman"/>
          <w:spacing w:val="-6"/>
        </w:rPr>
      </w:pPr>
      <w:r>
        <w:rPr>
          <w:spacing w:val="-6"/>
        </w:rPr>
        <w:t xml:space="preserve">Согласно </w:t>
      </w:r>
      <w:r>
        <w:t xml:space="preserve">проекту Национальной стратегии устойчивого развития Республики Беларусь на период до 2035 года, </w:t>
      </w:r>
      <w:r>
        <w:rPr>
          <w:rFonts w:eastAsia="Times New Roman"/>
          <w:b/>
          <w:iCs/>
          <w:spacing w:val="-6"/>
        </w:rPr>
        <w:t xml:space="preserve">стратегической целью </w:t>
      </w:r>
      <w:r>
        <w:rPr>
          <w:rFonts w:eastAsia="Times New Roman"/>
          <w:b/>
          <w:iCs/>
          <w:spacing w:val="-6"/>
        </w:rPr>
        <w:lastRenderedPageBreak/>
        <w:t>регионального развития</w:t>
      </w:r>
      <w:r>
        <w:rPr>
          <w:rFonts w:eastAsia="Times New Roman"/>
          <w:iCs/>
          <w:spacing w:val="-6"/>
        </w:rPr>
        <w:t xml:space="preserve"> является</w:t>
      </w:r>
      <w:r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>
        <w:rPr>
          <w:rFonts w:ascii="Times New Roman" w:eastAsia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:rsidR="0085571B" w:rsidRDefault="0085571B" w:rsidP="0085571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Мозырский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Лидский,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Борисовский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Солигорский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Молодечненский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>), а также регионы перспективного строительства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Островецкий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Глубокский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Жлобинский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85571B" w:rsidRDefault="0085571B" w:rsidP="0085571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:rsidR="0085571B" w:rsidRDefault="0085571B" w:rsidP="0085571B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Системная работа по развитию столичных функций </w:t>
      </w:r>
      <w:proofErr w:type="spellStart"/>
      <w:r>
        <w:rPr>
          <w:rFonts w:ascii="Times New Roman" w:eastAsia="Times New Roman" w:hAnsi="Times New Roman"/>
          <w:i/>
          <w:spacing w:val="-6"/>
          <w:sz w:val="28"/>
          <w:szCs w:val="28"/>
        </w:rPr>
        <w:t>г.Минска</w:t>
      </w:r>
      <w:proofErr w:type="spellEnd"/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</w:t>
      </w:r>
      <w:r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>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В рамках развития городов-спутников важна разработка и реализация регионами планов, обеспечивающих часовую транспортную доступность.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Промышленный комплекс столицы должен развиваться по пути создания и модернизации наукоемких компактных производств,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lastRenderedPageBreak/>
        <w:t xml:space="preserve">отвечающих запросам по </w:t>
      </w:r>
      <w:proofErr w:type="spellStart"/>
      <w:r>
        <w:rPr>
          <w:rFonts w:ascii="Times New Roman" w:eastAsia="Times New Roman" w:hAnsi="Times New Roman"/>
          <w:i/>
          <w:spacing w:val="-6"/>
          <w:sz w:val="28"/>
          <w:szCs w:val="28"/>
        </w:rPr>
        <w:t>экологичности</w:t>
      </w:r>
      <w:proofErr w:type="spellEnd"/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формирование в городах сбалансированной,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низкоуглеродной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безопасной, комфортной и недорогой для потребителей транспортной системы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:rsidR="0085571B" w:rsidRDefault="0085571B" w:rsidP="0085571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среды,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85571B" w:rsidRDefault="0085571B" w:rsidP="0085571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Расширение экономических доходов предусматривается на основе повышения эффективности сельского хозяйства, диверсификации </w:t>
      </w:r>
      <w:r>
        <w:rPr>
          <w:rFonts w:ascii="Times New Roman" w:eastAsia="Times New Roman" w:hAnsi="Times New Roman"/>
          <w:sz w:val="30"/>
          <w:szCs w:val="30"/>
        </w:rPr>
        <w:lastRenderedPageBreak/>
        <w:t>экономики отстающих районов и села за счет использования местных ресурсов и развития сферы услуг.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>
        <w:rPr>
          <w:rFonts w:ascii="Times New Roman" w:eastAsia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Важно сформировать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инновационно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Важно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>
        <w:rPr>
          <w:rFonts w:ascii="Times New Roman" w:eastAsia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:rsidR="0085571B" w:rsidRDefault="0085571B" w:rsidP="0085571B">
      <w:pPr>
        <w:pStyle w:val="150"/>
        <w:ind w:firstLineChars="0" w:firstLine="709"/>
        <w:rPr>
          <w:rFonts w:eastAsia="Calibri"/>
          <w:b/>
          <w:spacing w:val="-6"/>
        </w:rPr>
      </w:pPr>
      <w:r>
        <w:rPr>
          <w:b/>
          <w:spacing w:val="-6"/>
        </w:rPr>
        <w:t>Рассмотрим перспективы развития Гродненской области.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Главной целью развития области в 2020 году является рост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населения. 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Основу инвестиционного портфеля области в 2020 году по-прежнему составит проект РУП «Белорусская атомная электростанция».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Продолжится реализация ряда крупных проектов в сфере промышленности (ОАО «Гродно Азот», ОАО «Красносельск-стройматериалы», ОАО «Мостовдрев», ОАО «Гродненский стеклозавод», ИООО «Кроноспан», ООО «Европластекс инвест», ООО «ЭйчЭсБелакон», ООО «Праймилк» и др.), мясомолочной отрасли и сельском хозяйстве (ОАО «Молочный Мир», ООО «Дэйрифарм» и др.), в области логистики (ООО «ЗападТрансГраница», ООО «СТРОЙКАРГОСЕРВИС») и др.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Кроме того, за счет привлечения прямых иностранных инвестиций планируется реализация крупных инвестиционных проектов по созданию предприятий по деревообработке и производству мебели </w:t>
      </w:r>
      <w:r>
        <w:rPr>
          <w:rFonts w:ascii="Times New Roman" w:hAnsi="Times New Roman"/>
          <w:bCs/>
          <w:noProof/>
          <w:spacing w:val="-6"/>
          <w:sz w:val="30"/>
          <w:szCs w:val="30"/>
        </w:rPr>
        <w:t xml:space="preserve">в городе </w:t>
      </w:r>
      <w:r>
        <w:rPr>
          <w:rFonts w:ascii="Times New Roman" w:hAnsi="Times New Roman"/>
          <w:bCs/>
          <w:noProof/>
          <w:spacing w:val="-6"/>
          <w:sz w:val="30"/>
          <w:szCs w:val="30"/>
        </w:rPr>
        <w:lastRenderedPageBreak/>
        <w:t xml:space="preserve">Сморгони, </w:t>
      </w:r>
      <w:r>
        <w:rPr>
          <w:rFonts w:ascii="Times New Roman" w:hAnsi="Times New Roman"/>
          <w:noProof/>
          <w:spacing w:val="-6"/>
          <w:sz w:val="30"/>
          <w:szCs w:val="30"/>
        </w:rPr>
        <w:t>производству удобрений в городе Гродно. В рамках межрегионального сотрудничества Гродненской области и провинции Ганьсу осуществляется реализация инвестиционного проекта по созданию нового гостинично-ресторанного комплекса ООО «Торгово-промышленная корпорация «Цюань Шэн».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Главной задачей развития регионов в 2020 году является  сокращение межрегиональной дифференциации по уровню и качеству жизни населения.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Содействуя ускоренному привлечению ресурсов в районы, определенные центрами экономического роста, будет обеспечено развитие прилегающих территорий за счет стимулирования и поддержки предпринимательской активности и местной инициативы, обеспечения гарантированного уровня и качества жизни населения на основе социальных стандартов. 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Особое внимание будет уделено развитию районов, отстающих по уровню социально-экономического развития (Вороновский, Зельвенский, Свислочский).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noProof/>
          <w:spacing w:val="-6"/>
          <w:sz w:val="30"/>
          <w:szCs w:val="30"/>
        </w:rPr>
        <w:t xml:space="preserve">Планом развития отдельных регионов, отстающих по уровню социально-экономического развития (далее – План развития отдельных регионов), на территории Зельвенского района предусмотрена реализация 18 инвестиционных проектов с объемом инвестиций 36,4 миллиона  рублей. </w:t>
      </w:r>
    </w:p>
    <w:p w:rsidR="00443EF3" w:rsidRPr="00443EF3" w:rsidRDefault="00443EF3" w:rsidP="00443E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noProof/>
          <w:spacing w:val="-6"/>
          <w:sz w:val="30"/>
          <w:szCs w:val="30"/>
        </w:rPr>
        <w:t>В 2019 году завершена реализация 5 инвестиционных проектов с общим объемом инвестиций 616,7 тысячи  рублей</w:t>
      </w:r>
      <w:r w:rsidRPr="00443EF3"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  <w:t>.</w:t>
      </w:r>
    </w:p>
    <w:p w:rsidR="00443EF3" w:rsidRPr="00443EF3" w:rsidRDefault="00443EF3" w:rsidP="00443E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noProof/>
          <w:spacing w:val="-6"/>
          <w:sz w:val="30"/>
          <w:szCs w:val="30"/>
        </w:rPr>
        <w:t xml:space="preserve">Как уже отмечалось ранее, также в 2018 году ООО «Зилант» реализован значимый для района проект по строительству ветропарка общей мощностью 9,9 мегаватт, что открывает для района новое направление специализации. На предприятии работают 6 человек. </w:t>
      </w:r>
    </w:p>
    <w:p w:rsidR="00443EF3" w:rsidRPr="00443EF3" w:rsidRDefault="00443EF3" w:rsidP="00443E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noProof/>
          <w:spacing w:val="-6"/>
          <w:sz w:val="30"/>
          <w:szCs w:val="30"/>
        </w:rPr>
        <w:t xml:space="preserve">В рамках Плана развития отдельных регионов предусматривается также  поиск инвесторов для реализации 8 инвестиционных предложений. </w:t>
      </w:r>
    </w:p>
    <w:p w:rsidR="00443EF3" w:rsidRPr="00443EF3" w:rsidRDefault="00443EF3" w:rsidP="00443E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pacing w:val="-6"/>
          <w:sz w:val="30"/>
          <w:szCs w:val="30"/>
        </w:rPr>
      </w:pPr>
      <w:r w:rsidRPr="00443EF3">
        <w:rPr>
          <w:rFonts w:ascii="Times New Roman" w:hAnsi="Times New Roman"/>
          <w:b/>
          <w:i/>
          <w:noProof/>
          <w:spacing w:val="-6"/>
          <w:sz w:val="30"/>
          <w:szCs w:val="30"/>
        </w:rPr>
        <w:t>Инвестиционные предложения направлены прежде всего на привлечение в район субъектов малого и среднего бизнеса, иностранных инвесторов.</w:t>
      </w:r>
    </w:p>
    <w:p w:rsidR="00443EF3" w:rsidRDefault="00443EF3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Развитие социальной сферы планируется за счет реализации мероприятий, направленных на дальнейшее формирование качественного человеческого потенциала на основе повышения эффективности, качества и доступности услуг образования, культуры, здравоохранения, физической культуры и спорта. Также планируется строительство качественного и </w:t>
      </w:r>
      <w:r>
        <w:rPr>
          <w:rFonts w:ascii="Times New Roman" w:hAnsi="Times New Roman"/>
          <w:noProof/>
          <w:spacing w:val="-6"/>
          <w:sz w:val="30"/>
          <w:szCs w:val="30"/>
        </w:rPr>
        <w:lastRenderedPageBreak/>
        <w:t>доступного жилья (планируется ввод в эксплуатацию 415 тыс.квадратных метров жилья).</w:t>
      </w:r>
    </w:p>
    <w:p w:rsidR="0085571B" w:rsidRDefault="0085571B" w:rsidP="0085571B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:rsidR="0085571B" w:rsidRDefault="0085571B" w:rsidP="0085571B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словам Главы государства А.Г.Лукашенко,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85571B" w:rsidRDefault="0085571B" w:rsidP="00231B78">
      <w:pPr>
        <w:pStyle w:val="20"/>
        <w:shd w:val="clear" w:color="auto" w:fill="auto"/>
        <w:spacing w:after="0" w:line="230" w:lineRule="auto"/>
        <w:ind w:firstLine="709"/>
        <w:rPr>
          <w:rFonts w:eastAsia="Calibri"/>
          <w:spacing w:val="-6"/>
        </w:rPr>
      </w:pPr>
      <w:r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>
        <w:rPr>
          <w:b/>
          <w:spacing w:val="-6"/>
        </w:rPr>
        <w:t>И перед нами стоит задача прежде всего развить экономику регионов, чтобы были рабочие места и была зарплата для людей</w:t>
      </w:r>
      <w:r>
        <w:rPr>
          <w:spacing w:val="-6"/>
        </w:rPr>
        <w:t xml:space="preserve">», – отметил А.Г.Лукашенко, совершая рабочую поездку по Брестской области </w:t>
      </w:r>
      <w:r>
        <w:rPr>
          <w:spacing w:val="-6"/>
        </w:rPr>
        <w:br/>
        <w:t xml:space="preserve">в 2019 году. </w:t>
      </w:r>
    </w:p>
    <w:p w:rsidR="009A68D7" w:rsidRPr="00231B78" w:rsidRDefault="0085571B" w:rsidP="00231B78">
      <w:pPr>
        <w:pStyle w:val="20"/>
        <w:shd w:val="clear" w:color="auto" w:fill="auto"/>
        <w:spacing w:after="0" w:line="230" w:lineRule="auto"/>
        <w:ind w:firstLine="709"/>
        <w:rPr>
          <w:rFonts w:eastAsia="Calibri"/>
        </w:rPr>
      </w:pPr>
      <w:r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>
        <w:rPr>
          <w:b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>
        <w:t xml:space="preserve"> и никто нас никуда не повернет – не сможет. </w:t>
      </w:r>
      <w:r>
        <w:rPr>
          <w:b/>
        </w:rPr>
        <w:t>Поэтому главное – экономика</w:t>
      </w:r>
      <w:r>
        <w:t>», – подчеркнул белорусский лидер.</w:t>
      </w:r>
    </w:p>
    <w:sectPr w:rsidR="009A68D7" w:rsidRPr="00231B78" w:rsidSect="00231B7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5B" w:rsidRDefault="007D7B5B" w:rsidP="00231B78">
      <w:pPr>
        <w:spacing w:after="0" w:line="240" w:lineRule="auto"/>
      </w:pPr>
      <w:r>
        <w:separator/>
      </w:r>
    </w:p>
  </w:endnote>
  <w:endnote w:type="continuationSeparator" w:id="0">
    <w:p w:rsidR="007D7B5B" w:rsidRDefault="007D7B5B" w:rsidP="0023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5B" w:rsidRDefault="007D7B5B" w:rsidP="00231B78">
      <w:pPr>
        <w:spacing w:after="0" w:line="240" w:lineRule="auto"/>
      </w:pPr>
      <w:r>
        <w:separator/>
      </w:r>
    </w:p>
  </w:footnote>
  <w:footnote w:type="continuationSeparator" w:id="0">
    <w:p w:rsidR="007D7B5B" w:rsidRDefault="007D7B5B" w:rsidP="0023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114776"/>
      <w:docPartObj>
        <w:docPartGallery w:val="Page Numbers (Top of Page)"/>
        <w:docPartUnique/>
      </w:docPartObj>
    </w:sdtPr>
    <w:sdtEndPr/>
    <w:sdtContent>
      <w:p w:rsidR="00231B78" w:rsidRDefault="00231B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EF3">
          <w:rPr>
            <w:noProof/>
          </w:rPr>
          <w:t>21</w:t>
        </w:r>
        <w:r>
          <w:fldChar w:fldCharType="end"/>
        </w:r>
      </w:p>
    </w:sdtContent>
  </w:sdt>
  <w:p w:rsidR="00231B78" w:rsidRDefault="00231B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2E"/>
    <w:rsid w:val="000A662E"/>
    <w:rsid w:val="00145119"/>
    <w:rsid w:val="00231B78"/>
    <w:rsid w:val="00384C03"/>
    <w:rsid w:val="00443EF3"/>
    <w:rsid w:val="00484A41"/>
    <w:rsid w:val="004E7024"/>
    <w:rsid w:val="007701E2"/>
    <w:rsid w:val="007D7B5B"/>
    <w:rsid w:val="0085571B"/>
    <w:rsid w:val="009A17D7"/>
    <w:rsid w:val="009A68D7"/>
    <w:rsid w:val="00A91DBA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7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85571B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85571B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8557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85571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B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B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7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85571B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85571B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8557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85571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B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B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onomy.gov.by/uploads/files/macro-prognoz/Postanovlenie-27-12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nomy.gov.by/uploads/files/macro-prognoz/Ukaz-31-10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Seven</cp:lastModifiedBy>
  <cp:revision>2</cp:revision>
  <dcterms:created xsi:type="dcterms:W3CDTF">2020-03-18T13:15:00Z</dcterms:created>
  <dcterms:modified xsi:type="dcterms:W3CDTF">2020-03-18T13:15:00Z</dcterms:modified>
</cp:coreProperties>
</file>