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A" w:rsidRPr="00E85178" w:rsidRDefault="00E85178" w:rsidP="00E85178">
      <w:pPr>
        <w:pStyle w:val="a3"/>
        <w:jc w:val="right"/>
        <w:rPr>
          <w:rFonts w:ascii="Times New Roman" w:hAnsi="Times New Roman" w:cs="Times New Roman"/>
          <w:b/>
          <w:i/>
          <w:sz w:val="24"/>
          <w:szCs w:val="24"/>
        </w:rPr>
      </w:pPr>
      <w:r w:rsidRPr="00E85178">
        <w:rPr>
          <w:rFonts w:ascii="Times New Roman" w:hAnsi="Times New Roman" w:cs="Times New Roman"/>
          <w:b/>
          <w:i/>
          <w:sz w:val="24"/>
          <w:szCs w:val="24"/>
        </w:rPr>
        <w:t>К единому дню информирования</w:t>
      </w:r>
    </w:p>
    <w:p w:rsidR="00E85178" w:rsidRPr="00E85178" w:rsidRDefault="00E85178" w:rsidP="00E85178">
      <w:pPr>
        <w:pStyle w:val="a3"/>
        <w:jc w:val="right"/>
        <w:rPr>
          <w:rFonts w:ascii="Times New Roman" w:hAnsi="Times New Roman" w:cs="Times New Roman"/>
          <w:b/>
          <w:i/>
          <w:sz w:val="24"/>
          <w:szCs w:val="24"/>
        </w:rPr>
      </w:pPr>
      <w:r w:rsidRPr="00E85178">
        <w:rPr>
          <w:rFonts w:ascii="Times New Roman" w:hAnsi="Times New Roman" w:cs="Times New Roman"/>
          <w:b/>
          <w:i/>
          <w:sz w:val="24"/>
          <w:szCs w:val="24"/>
        </w:rPr>
        <w:t>Февраль 2018</w:t>
      </w:r>
    </w:p>
    <w:p w:rsidR="00E85178" w:rsidRPr="004A3821" w:rsidRDefault="00E85178" w:rsidP="004D7D4A">
      <w:pPr>
        <w:pStyle w:val="a3"/>
        <w:jc w:val="center"/>
        <w:rPr>
          <w:rFonts w:ascii="Times New Roman" w:hAnsi="Times New Roman" w:cs="Times New Roman"/>
          <w:b/>
          <w:sz w:val="36"/>
          <w:szCs w:val="36"/>
        </w:rPr>
      </w:pPr>
    </w:p>
    <w:p w:rsidR="000C69CA" w:rsidRDefault="00280C2B" w:rsidP="004A3821">
      <w:pPr>
        <w:pStyle w:val="a3"/>
        <w:jc w:val="center"/>
        <w:rPr>
          <w:rFonts w:ascii="Times New Roman" w:hAnsi="Times New Roman" w:cs="Times New Roman"/>
          <w:b/>
          <w:sz w:val="36"/>
          <w:szCs w:val="36"/>
        </w:rPr>
      </w:pPr>
      <w:r>
        <w:rPr>
          <w:rFonts w:ascii="Times New Roman" w:hAnsi="Times New Roman" w:cs="Times New Roman"/>
          <w:b/>
          <w:sz w:val="36"/>
          <w:szCs w:val="36"/>
        </w:rPr>
        <w:t>О р</w:t>
      </w:r>
      <w:r w:rsidR="000C69CA">
        <w:rPr>
          <w:rFonts w:ascii="Times New Roman" w:hAnsi="Times New Roman" w:cs="Times New Roman"/>
          <w:b/>
          <w:sz w:val="36"/>
          <w:szCs w:val="36"/>
        </w:rPr>
        <w:t>езультат</w:t>
      </w:r>
      <w:r>
        <w:rPr>
          <w:rFonts w:ascii="Times New Roman" w:hAnsi="Times New Roman" w:cs="Times New Roman"/>
          <w:b/>
          <w:sz w:val="36"/>
          <w:szCs w:val="36"/>
        </w:rPr>
        <w:t>ах</w:t>
      </w:r>
      <w:r w:rsidR="000C69CA">
        <w:rPr>
          <w:rFonts w:ascii="Times New Roman" w:hAnsi="Times New Roman" w:cs="Times New Roman"/>
          <w:b/>
          <w:sz w:val="36"/>
          <w:szCs w:val="36"/>
        </w:rPr>
        <w:t xml:space="preserve"> работы и достижени</w:t>
      </w:r>
      <w:r w:rsidR="005D4294">
        <w:rPr>
          <w:rFonts w:ascii="Times New Roman" w:hAnsi="Times New Roman" w:cs="Times New Roman"/>
          <w:b/>
          <w:sz w:val="36"/>
          <w:szCs w:val="36"/>
        </w:rPr>
        <w:t>я</w:t>
      </w:r>
      <w:r>
        <w:rPr>
          <w:rFonts w:ascii="Times New Roman" w:hAnsi="Times New Roman" w:cs="Times New Roman"/>
          <w:b/>
          <w:sz w:val="36"/>
          <w:szCs w:val="36"/>
        </w:rPr>
        <w:t>х</w:t>
      </w:r>
    </w:p>
    <w:p w:rsidR="00084E9E" w:rsidRPr="004A3821" w:rsidRDefault="000C69CA" w:rsidP="004A3821">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Гродненской области в текущей пятилетке </w:t>
      </w:r>
    </w:p>
    <w:p w:rsidR="004D7D4A" w:rsidRDefault="004D7D4A" w:rsidP="004D7D4A">
      <w:pPr>
        <w:pStyle w:val="a3"/>
        <w:jc w:val="center"/>
        <w:rPr>
          <w:rFonts w:ascii="Times New Roman" w:hAnsi="Times New Roman" w:cs="Times New Roman"/>
          <w:sz w:val="30"/>
          <w:szCs w:val="30"/>
        </w:rPr>
      </w:pPr>
    </w:p>
    <w:p w:rsidR="00084E9E" w:rsidRPr="00592F43" w:rsidRDefault="004D7D4A" w:rsidP="00257823">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Материал подготовлен</w:t>
      </w:r>
    </w:p>
    <w:p w:rsidR="004D7D4A" w:rsidRPr="00592F43" w:rsidRDefault="004D7D4A" w:rsidP="00257823">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комитетом экономики Гродненского облисполкома</w:t>
      </w:r>
      <w:r w:rsidR="00592F43" w:rsidRPr="00592F43">
        <w:rPr>
          <w:rFonts w:ascii="Times New Roman" w:hAnsi="Times New Roman" w:cs="Times New Roman"/>
          <w:i/>
          <w:sz w:val="30"/>
          <w:szCs w:val="30"/>
        </w:rPr>
        <w:t>,</w:t>
      </w:r>
    </w:p>
    <w:p w:rsidR="00592F43" w:rsidRDefault="00592F43" w:rsidP="00257823">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комитетом по сельскому хозяйству и продовольствию</w:t>
      </w:r>
    </w:p>
    <w:p w:rsidR="00592F43" w:rsidRDefault="00592F43" w:rsidP="00257823">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Гродненского облисполкома,</w:t>
      </w:r>
    </w:p>
    <w:p w:rsidR="00592F43" w:rsidRDefault="00592F43" w:rsidP="00257823">
      <w:pPr>
        <w:pStyle w:val="a3"/>
        <w:jc w:val="center"/>
        <w:rPr>
          <w:rFonts w:ascii="Times New Roman" w:hAnsi="Times New Roman" w:cs="Times New Roman"/>
          <w:i/>
          <w:sz w:val="30"/>
          <w:szCs w:val="30"/>
        </w:rPr>
      </w:pPr>
      <w:r w:rsidRPr="00592F43">
        <w:rPr>
          <w:rFonts w:ascii="Times New Roman" w:hAnsi="Times New Roman" w:cs="Times New Roman"/>
          <w:i/>
          <w:sz w:val="30"/>
          <w:szCs w:val="30"/>
        </w:rPr>
        <w:t>управлением торговли и услуг Гродненского облисполкома,</w:t>
      </w:r>
    </w:p>
    <w:p w:rsidR="006D55A4" w:rsidRDefault="006D55A4" w:rsidP="00257823">
      <w:pPr>
        <w:pStyle w:val="a3"/>
        <w:jc w:val="center"/>
        <w:rPr>
          <w:rFonts w:ascii="Times New Roman" w:hAnsi="Times New Roman" w:cs="Times New Roman"/>
          <w:i/>
          <w:sz w:val="30"/>
          <w:szCs w:val="30"/>
        </w:rPr>
      </w:pPr>
      <w:r w:rsidRPr="006D55A4">
        <w:rPr>
          <w:rFonts w:ascii="Times New Roman" w:hAnsi="Times New Roman" w:cs="Times New Roman"/>
          <w:i/>
          <w:sz w:val="30"/>
          <w:szCs w:val="30"/>
        </w:rPr>
        <w:t>ГО «ЖКХ Гродненской области»</w:t>
      </w:r>
      <w:r w:rsidR="004A3821">
        <w:rPr>
          <w:rFonts w:ascii="Times New Roman" w:hAnsi="Times New Roman" w:cs="Times New Roman"/>
          <w:i/>
          <w:sz w:val="30"/>
          <w:szCs w:val="30"/>
        </w:rPr>
        <w:t>,</w:t>
      </w:r>
    </w:p>
    <w:p w:rsidR="0057369E" w:rsidRDefault="0057369E" w:rsidP="00257823">
      <w:pPr>
        <w:pStyle w:val="a3"/>
        <w:jc w:val="center"/>
        <w:rPr>
          <w:rFonts w:ascii="Times New Roman" w:hAnsi="Times New Roman" w:cs="Times New Roman"/>
          <w:i/>
          <w:sz w:val="30"/>
          <w:szCs w:val="30"/>
        </w:rPr>
      </w:pPr>
      <w:r>
        <w:rPr>
          <w:rFonts w:ascii="Times New Roman" w:hAnsi="Times New Roman" w:cs="Times New Roman"/>
          <w:i/>
          <w:sz w:val="30"/>
          <w:szCs w:val="30"/>
        </w:rPr>
        <w:t>комитетом по труду, занятости и социальной защите</w:t>
      </w:r>
    </w:p>
    <w:p w:rsidR="0057369E" w:rsidRDefault="0057369E" w:rsidP="00257823">
      <w:pPr>
        <w:pStyle w:val="a3"/>
        <w:jc w:val="center"/>
        <w:rPr>
          <w:rFonts w:ascii="Times New Roman" w:hAnsi="Times New Roman" w:cs="Times New Roman"/>
          <w:i/>
          <w:sz w:val="30"/>
          <w:szCs w:val="30"/>
        </w:rPr>
      </w:pPr>
      <w:r>
        <w:rPr>
          <w:rFonts w:ascii="Times New Roman" w:hAnsi="Times New Roman" w:cs="Times New Roman"/>
          <w:i/>
          <w:sz w:val="30"/>
          <w:szCs w:val="30"/>
        </w:rPr>
        <w:t>Гродненского облисполкома,</w:t>
      </w:r>
    </w:p>
    <w:p w:rsidR="00592F43" w:rsidRDefault="00592F43" w:rsidP="00257823">
      <w:pPr>
        <w:pStyle w:val="a3"/>
        <w:jc w:val="center"/>
        <w:rPr>
          <w:rFonts w:ascii="Times New Roman" w:hAnsi="Times New Roman" w:cs="Times New Roman"/>
          <w:i/>
          <w:sz w:val="30"/>
          <w:szCs w:val="30"/>
        </w:rPr>
      </w:pPr>
      <w:r>
        <w:rPr>
          <w:rFonts w:ascii="Times New Roman" w:hAnsi="Times New Roman" w:cs="Times New Roman"/>
          <w:i/>
          <w:sz w:val="30"/>
          <w:szCs w:val="30"/>
        </w:rPr>
        <w:t>главным управлением здравоохранени</w:t>
      </w:r>
      <w:r w:rsidR="004A3821">
        <w:rPr>
          <w:rFonts w:ascii="Times New Roman" w:hAnsi="Times New Roman" w:cs="Times New Roman"/>
          <w:i/>
          <w:sz w:val="30"/>
          <w:szCs w:val="30"/>
        </w:rPr>
        <w:t>я</w:t>
      </w:r>
      <w:r>
        <w:rPr>
          <w:rFonts w:ascii="Times New Roman" w:hAnsi="Times New Roman" w:cs="Times New Roman"/>
          <w:i/>
          <w:sz w:val="30"/>
          <w:szCs w:val="30"/>
        </w:rPr>
        <w:t xml:space="preserve"> Гродненского облисполкома,</w:t>
      </w:r>
    </w:p>
    <w:p w:rsidR="00592F43" w:rsidRDefault="00592F43" w:rsidP="00257823">
      <w:pPr>
        <w:pStyle w:val="a3"/>
        <w:jc w:val="center"/>
        <w:rPr>
          <w:rFonts w:ascii="Times New Roman" w:hAnsi="Times New Roman" w:cs="Times New Roman"/>
          <w:i/>
          <w:sz w:val="30"/>
          <w:szCs w:val="30"/>
        </w:rPr>
      </w:pPr>
      <w:r>
        <w:rPr>
          <w:rFonts w:ascii="Times New Roman" w:hAnsi="Times New Roman" w:cs="Times New Roman"/>
          <w:i/>
          <w:sz w:val="30"/>
          <w:szCs w:val="30"/>
        </w:rPr>
        <w:t>главным управлением образования Гродненского облисполкома,</w:t>
      </w:r>
    </w:p>
    <w:p w:rsidR="00592F43" w:rsidRDefault="00592F43" w:rsidP="00257823">
      <w:pPr>
        <w:pStyle w:val="a3"/>
        <w:jc w:val="center"/>
        <w:rPr>
          <w:rFonts w:ascii="Times New Roman" w:hAnsi="Times New Roman" w:cs="Times New Roman"/>
          <w:i/>
          <w:sz w:val="30"/>
          <w:szCs w:val="30"/>
        </w:rPr>
      </w:pPr>
      <w:r>
        <w:rPr>
          <w:rFonts w:ascii="Times New Roman" w:hAnsi="Times New Roman" w:cs="Times New Roman"/>
          <w:i/>
          <w:sz w:val="30"/>
          <w:szCs w:val="30"/>
        </w:rPr>
        <w:t>управлением спорта и ту</w:t>
      </w:r>
      <w:r w:rsidR="006D55A4">
        <w:rPr>
          <w:rFonts w:ascii="Times New Roman" w:hAnsi="Times New Roman" w:cs="Times New Roman"/>
          <w:i/>
          <w:sz w:val="30"/>
          <w:szCs w:val="30"/>
        </w:rPr>
        <w:t>ризма Гродненского облисполкома</w:t>
      </w:r>
    </w:p>
    <w:p w:rsidR="00257823" w:rsidRDefault="00257823" w:rsidP="00257823">
      <w:pPr>
        <w:pStyle w:val="a3"/>
        <w:jc w:val="center"/>
        <w:rPr>
          <w:rFonts w:ascii="Times New Roman" w:hAnsi="Times New Roman" w:cs="Times New Roman"/>
          <w:i/>
          <w:sz w:val="30"/>
          <w:szCs w:val="30"/>
        </w:rPr>
      </w:pPr>
      <w:r>
        <w:rPr>
          <w:rFonts w:ascii="Times New Roman" w:hAnsi="Times New Roman" w:cs="Times New Roman"/>
          <w:i/>
          <w:sz w:val="30"/>
          <w:szCs w:val="30"/>
        </w:rPr>
        <w:t xml:space="preserve">Материал дополнен отделом экономики, управлением по труду, занятости и социальной защите, управлением сельского хозяйства и продовольствия, отделом образования, спорта и туризма </w:t>
      </w:r>
      <w:proofErr w:type="spellStart"/>
      <w:r>
        <w:rPr>
          <w:rFonts w:ascii="Times New Roman" w:hAnsi="Times New Roman" w:cs="Times New Roman"/>
          <w:i/>
          <w:sz w:val="30"/>
          <w:szCs w:val="30"/>
        </w:rPr>
        <w:t>Зельвенского</w:t>
      </w:r>
      <w:proofErr w:type="spellEnd"/>
      <w:r>
        <w:rPr>
          <w:rFonts w:ascii="Times New Roman" w:hAnsi="Times New Roman" w:cs="Times New Roman"/>
          <w:i/>
          <w:sz w:val="30"/>
          <w:szCs w:val="30"/>
        </w:rPr>
        <w:t xml:space="preserve"> райисполкома, </w:t>
      </w:r>
    </w:p>
    <w:p w:rsidR="00257823" w:rsidRDefault="00257823" w:rsidP="00257823">
      <w:pPr>
        <w:pStyle w:val="a3"/>
        <w:jc w:val="center"/>
        <w:rPr>
          <w:rFonts w:ascii="Times New Roman" w:hAnsi="Times New Roman" w:cs="Times New Roman"/>
          <w:i/>
          <w:sz w:val="30"/>
          <w:szCs w:val="30"/>
        </w:rPr>
      </w:pPr>
      <w:bookmarkStart w:id="0" w:name="_GoBack"/>
      <w:bookmarkEnd w:id="0"/>
      <w:r>
        <w:rPr>
          <w:rFonts w:ascii="Times New Roman" w:hAnsi="Times New Roman" w:cs="Times New Roman"/>
          <w:i/>
          <w:sz w:val="30"/>
          <w:szCs w:val="30"/>
        </w:rPr>
        <w:t>УЗ «</w:t>
      </w:r>
      <w:proofErr w:type="spellStart"/>
      <w:r>
        <w:rPr>
          <w:rFonts w:ascii="Times New Roman" w:hAnsi="Times New Roman" w:cs="Times New Roman"/>
          <w:i/>
          <w:sz w:val="30"/>
          <w:szCs w:val="30"/>
        </w:rPr>
        <w:t>Зельвенская</w:t>
      </w:r>
      <w:proofErr w:type="spellEnd"/>
      <w:r>
        <w:rPr>
          <w:rFonts w:ascii="Times New Roman" w:hAnsi="Times New Roman" w:cs="Times New Roman"/>
          <w:i/>
          <w:sz w:val="30"/>
          <w:szCs w:val="30"/>
        </w:rPr>
        <w:t xml:space="preserve"> ЦРБ»</w:t>
      </w:r>
    </w:p>
    <w:p w:rsidR="00084E9E" w:rsidRPr="00084E9E" w:rsidRDefault="00084E9E" w:rsidP="004D7D4A">
      <w:pPr>
        <w:pStyle w:val="a3"/>
        <w:jc w:val="both"/>
        <w:rPr>
          <w:rFonts w:ascii="Times New Roman" w:hAnsi="Times New Roman" w:cs="Times New Roman"/>
          <w:sz w:val="30"/>
          <w:szCs w:val="30"/>
        </w:rPr>
      </w:pP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Результатом проводимой государством политики в 2012 – 2017 годах стало сохранение социальной стабильности и рост качества жизни населения.</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области обеспечена положительная динамика  показателей социально-экономического развития области. </w:t>
      </w:r>
    </w:p>
    <w:p w:rsidR="00084E9E" w:rsidRPr="00084E9E" w:rsidRDefault="00084E9E" w:rsidP="00342FD7">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Прирост валового регионального продукта к уровню 2011 года составил 6,3%.</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Промышленный комплекс Гродненской области производит 10,2% республиканского объема промышленной продукции. В области сосредоточен весь республиканский объем производства </w:t>
      </w:r>
      <w:proofErr w:type="spellStart"/>
      <w:r w:rsidRPr="00084E9E">
        <w:rPr>
          <w:rFonts w:ascii="Times New Roman" w:hAnsi="Times New Roman" w:cs="Times New Roman"/>
          <w:sz w:val="30"/>
          <w:szCs w:val="30"/>
        </w:rPr>
        <w:t>капролактама</w:t>
      </w:r>
      <w:proofErr w:type="spellEnd"/>
      <w:r w:rsidRPr="00084E9E">
        <w:rPr>
          <w:rFonts w:ascii="Times New Roman" w:hAnsi="Times New Roman" w:cs="Times New Roman"/>
          <w:sz w:val="30"/>
          <w:szCs w:val="30"/>
        </w:rPr>
        <w:t>, аммиака, кордной ткани, питания детского на молочной основе сухого, 91,7% азотных удобрений, 75,1% чулочно-носочных изделий.</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Проведенная техническая модернизация существующих промышленных производств, внедрение прогрессивных технологий, а также организация новых производств позволили обеспечить в промышленном комплексе области темп роста объема производства промышленной продукции по набору товаров-представителей за 2012-2016 годы к уровню 2011 года 102,9 %.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обрабатывающей промышленности темп роста составил 100,8 % к уровню 2011 года (удельный вес в общем объеме производства по итогам 2016 г. – 85,6 %).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Приоритетное развитие получили производства, ориентированные на использование местных ресурсов. В результате темп роста объемов </w:t>
      </w:r>
      <w:r w:rsidRPr="00084E9E">
        <w:rPr>
          <w:rFonts w:ascii="Times New Roman" w:hAnsi="Times New Roman" w:cs="Times New Roman"/>
          <w:sz w:val="30"/>
          <w:szCs w:val="30"/>
        </w:rPr>
        <w:lastRenderedPageBreak/>
        <w:t>производства продуктов питания, напитков и табачных изделий составил 107,4 % к уровню 2011 года, производства изделий из дерева и бумаги – 164,3 %.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Значительный рост обеспечен в химическом производстве – 118,2%, металлургическом производстве и производстве готовых металлических изделий – 111,0 %, производстве вычислительной, электронной и оптической аппаратуры – 114,1 %. </w:t>
      </w:r>
    </w:p>
    <w:p w:rsidR="00787AAC" w:rsidRPr="00787AAC" w:rsidRDefault="00787AAC" w:rsidP="00787AAC">
      <w:pPr>
        <w:spacing w:after="0" w:line="240" w:lineRule="auto"/>
        <w:ind w:left="-284" w:firstLine="425"/>
        <w:contextualSpacing/>
        <w:jc w:val="both"/>
        <w:rPr>
          <w:rFonts w:ascii="Times New Roman" w:hAnsi="Times New Roman" w:cs="Times New Roman"/>
          <w:b/>
          <w:i/>
          <w:sz w:val="28"/>
          <w:szCs w:val="28"/>
        </w:rPr>
      </w:pPr>
      <w:r w:rsidRPr="00DD7551">
        <w:rPr>
          <w:rFonts w:ascii="Times New Roman" w:hAnsi="Times New Roman" w:cs="Times New Roman"/>
          <w:b/>
          <w:i/>
          <w:sz w:val="28"/>
          <w:szCs w:val="28"/>
        </w:rPr>
        <w:t>В районе производство осуществляют предприятие жилищно-коммунального хозяйство (</w:t>
      </w:r>
      <w:proofErr w:type="spellStart"/>
      <w:r w:rsidRPr="00DD7551">
        <w:rPr>
          <w:rFonts w:ascii="Times New Roman" w:hAnsi="Times New Roman" w:cs="Times New Roman"/>
          <w:b/>
          <w:i/>
          <w:sz w:val="28"/>
          <w:szCs w:val="28"/>
        </w:rPr>
        <w:t>теплоэнергия</w:t>
      </w:r>
      <w:proofErr w:type="spellEnd"/>
      <w:r w:rsidRPr="00DD7551">
        <w:rPr>
          <w:rFonts w:ascii="Times New Roman" w:hAnsi="Times New Roman" w:cs="Times New Roman"/>
          <w:b/>
          <w:i/>
          <w:sz w:val="28"/>
          <w:szCs w:val="28"/>
        </w:rPr>
        <w:t xml:space="preserve"> и вода), субъекты малого и среднего предпринимательства. Производство швейных и трикотажных изделий, синтепона, изделий из ПВХ осуществляет предприятие бытового обслуживания. Малый бизнес занят деревопереработкой, изготовлением мебели. </w:t>
      </w:r>
      <w:proofErr w:type="spellStart"/>
      <w:r w:rsidRPr="00DD7551">
        <w:rPr>
          <w:rFonts w:ascii="Times New Roman" w:hAnsi="Times New Roman" w:cs="Times New Roman"/>
          <w:b/>
          <w:i/>
          <w:sz w:val="28"/>
          <w:szCs w:val="28"/>
        </w:rPr>
        <w:t>Зельвенский</w:t>
      </w:r>
      <w:proofErr w:type="spellEnd"/>
      <w:r w:rsidRPr="00DD7551">
        <w:rPr>
          <w:rFonts w:ascii="Times New Roman" w:hAnsi="Times New Roman" w:cs="Times New Roman"/>
          <w:b/>
          <w:i/>
          <w:sz w:val="28"/>
          <w:szCs w:val="28"/>
        </w:rPr>
        <w:t xml:space="preserve"> филиал </w:t>
      </w:r>
      <w:proofErr w:type="spellStart"/>
      <w:r w:rsidRPr="00DD7551">
        <w:rPr>
          <w:rFonts w:ascii="Times New Roman" w:hAnsi="Times New Roman" w:cs="Times New Roman"/>
          <w:b/>
          <w:i/>
          <w:sz w:val="28"/>
          <w:szCs w:val="28"/>
        </w:rPr>
        <w:t>облпотребощества</w:t>
      </w:r>
      <w:proofErr w:type="spellEnd"/>
      <w:r w:rsidRPr="00DD7551">
        <w:rPr>
          <w:rFonts w:ascii="Times New Roman" w:hAnsi="Times New Roman" w:cs="Times New Roman"/>
          <w:b/>
          <w:i/>
          <w:sz w:val="28"/>
          <w:szCs w:val="28"/>
        </w:rPr>
        <w:t xml:space="preserve"> производит хлебобулочные, колбасные изделия, мясные полуфабрикаты. При этом</w:t>
      </w:r>
      <w:proofErr w:type="gramStart"/>
      <w:r w:rsidRPr="00DD7551">
        <w:rPr>
          <w:rFonts w:ascii="Times New Roman" w:hAnsi="Times New Roman" w:cs="Times New Roman"/>
          <w:b/>
          <w:i/>
          <w:sz w:val="28"/>
          <w:szCs w:val="28"/>
        </w:rPr>
        <w:t>,</w:t>
      </w:r>
      <w:proofErr w:type="gramEnd"/>
      <w:r w:rsidRPr="00DD7551">
        <w:rPr>
          <w:rFonts w:ascii="Times New Roman" w:hAnsi="Times New Roman" w:cs="Times New Roman"/>
          <w:b/>
          <w:i/>
          <w:sz w:val="28"/>
          <w:szCs w:val="28"/>
        </w:rPr>
        <w:t xml:space="preserve"> качество </w:t>
      </w:r>
      <w:proofErr w:type="spellStart"/>
      <w:r w:rsidRPr="00DD7551">
        <w:rPr>
          <w:rFonts w:ascii="Times New Roman" w:hAnsi="Times New Roman" w:cs="Times New Roman"/>
          <w:b/>
          <w:i/>
          <w:sz w:val="28"/>
          <w:szCs w:val="28"/>
        </w:rPr>
        <w:t>Зельвенского</w:t>
      </w:r>
      <w:proofErr w:type="spellEnd"/>
      <w:r w:rsidRPr="00DD7551">
        <w:rPr>
          <w:rFonts w:ascii="Times New Roman" w:hAnsi="Times New Roman" w:cs="Times New Roman"/>
          <w:b/>
          <w:i/>
          <w:sz w:val="28"/>
          <w:szCs w:val="28"/>
        </w:rPr>
        <w:t xml:space="preserve"> хлеба ценится далеко за пределами района. Хлебобулочные изделия филиала на протяжении последних лет являются победителями и лауреатами республиканского смотра качества хлебобулочных изделий «</w:t>
      </w:r>
      <w:proofErr w:type="spellStart"/>
      <w:r w:rsidRPr="00DD7551">
        <w:rPr>
          <w:rFonts w:ascii="Times New Roman" w:hAnsi="Times New Roman" w:cs="Times New Roman"/>
          <w:b/>
          <w:i/>
          <w:sz w:val="28"/>
          <w:szCs w:val="28"/>
        </w:rPr>
        <w:t>Ласунок</w:t>
      </w:r>
      <w:proofErr w:type="spellEnd"/>
      <w:r w:rsidRPr="00DD7551">
        <w:rPr>
          <w:rFonts w:ascii="Times New Roman" w:hAnsi="Times New Roman" w:cs="Times New Roman"/>
          <w:b/>
          <w:i/>
          <w:sz w:val="28"/>
          <w:szCs w:val="28"/>
        </w:rPr>
        <w:t xml:space="preserve">». </w:t>
      </w:r>
      <w:proofErr w:type="spellStart"/>
      <w:r w:rsidRPr="00DD7551">
        <w:rPr>
          <w:rFonts w:ascii="Times New Roman" w:hAnsi="Times New Roman" w:cs="Times New Roman"/>
          <w:b/>
          <w:i/>
          <w:sz w:val="28"/>
          <w:szCs w:val="28"/>
        </w:rPr>
        <w:t>Зельвенский</w:t>
      </w:r>
      <w:proofErr w:type="spellEnd"/>
      <w:r w:rsidRPr="00DD7551">
        <w:rPr>
          <w:rFonts w:ascii="Times New Roman" w:hAnsi="Times New Roman" w:cs="Times New Roman"/>
          <w:b/>
          <w:i/>
          <w:sz w:val="28"/>
          <w:szCs w:val="28"/>
        </w:rPr>
        <w:t xml:space="preserve"> хлеб пользуется спросом не только в районе, но и за его пределами, более 30% производимых хлебобулочных изделий поставляется в другие районы области.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Основные потребители гродненской </w:t>
      </w:r>
      <w:proofErr w:type="gramStart"/>
      <w:r w:rsidRPr="00084E9E">
        <w:rPr>
          <w:rFonts w:ascii="Times New Roman" w:hAnsi="Times New Roman" w:cs="Times New Roman"/>
          <w:sz w:val="30"/>
          <w:szCs w:val="30"/>
        </w:rPr>
        <w:t>продукции</w:t>
      </w:r>
      <w:proofErr w:type="gramEnd"/>
      <w:r w:rsidRPr="00084E9E">
        <w:rPr>
          <w:rFonts w:ascii="Times New Roman" w:hAnsi="Times New Roman" w:cs="Times New Roman"/>
          <w:sz w:val="30"/>
          <w:szCs w:val="30"/>
        </w:rPr>
        <w:t xml:space="preserve"> на долю которых приходится около 80% экспорта: Российская Федерация, Польша, Германия, Китай, Украина, Литва. </w:t>
      </w:r>
    </w:p>
    <w:p w:rsidR="00084E9E" w:rsidRPr="00084E9E" w:rsidRDefault="00084E9E" w:rsidP="004552F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области зарегистрированы объемы экспортно-импортных операций со 126 странами мира, при этом товары экспортировались в 98 стран. </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На территории региона ежегодно проводятся: республиканская универсальная выставка-ярмарка «</w:t>
      </w:r>
      <w:proofErr w:type="spellStart"/>
      <w:r w:rsidRPr="00084E9E">
        <w:rPr>
          <w:rFonts w:ascii="Times New Roman" w:hAnsi="Times New Roman" w:cs="Times New Roman"/>
          <w:sz w:val="30"/>
          <w:szCs w:val="30"/>
        </w:rPr>
        <w:t>Еврорегион</w:t>
      </w:r>
      <w:proofErr w:type="spellEnd"/>
      <w:r w:rsidRPr="00084E9E">
        <w:rPr>
          <w:rFonts w:ascii="Times New Roman" w:hAnsi="Times New Roman" w:cs="Times New Roman"/>
          <w:sz w:val="30"/>
          <w:szCs w:val="30"/>
        </w:rPr>
        <w:t xml:space="preserve"> «Неман»; международный инвестиционный форум «</w:t>
      </w:r>
      <w:proofErr w:type="spellStart"/>
      <w:r w:rsidRPr="00084E9E">
        <w:rPr>
          <w:rFonts w:ascii="Times New Roman" w:hAnsi="Times New Roman" w:cs="Times New Roman"/>
          <w:sz w:val="30"/>
          <w:szCs w:val="30"/>
        </w:rPr>
        <w:t>Гродненщина</w:t>
      </w:r>
      <w:proofErr w:type="spellEnd"/>
      <w:r w:rsidRPr="00084E9E">
        <w:rPr>
          <w:rFonts w:ascii="Times New Roman" w:hAnsi="Times New Roman" w:cs="Times New Roman"/>
          <w:sz w:val="30"/>
          <w:szCs w:val="30"/>
        </w:rPr>
        <w:t xml:space="preserve"> на перекрестке границ»; региональная выставка-ярмарка «Северный вектор </w:t>
      </w:r>
      <w:proofErr w:type="spellStart"/>
      <w:r w:rsidRPr="00084E9E">
        <w:rPr>
          <w:rFonts w:ascii="Times New Roman" w:hAnsi="Times New Roman" w:cs="Times New Roman"/>
          <w:sz w:val="30"/>
          <w:szCs w:val="30"/>
        </w:rPr>
        <w:t>Гродненщины</w:t>
      </w:r>
      <w:proofErr w:type="spellEnd"/>
      <w:r w:rsidRPr="00084E9E">
        <w:rPr>
          <w:rFonts w:ascii="Times New Roman" w:hAnsi="Times New Roman" w:cs="Times New Roman"/>
          <w:sz w:val="30"/>
          <w:szCs w:val="30"/>
        </w:rPr>
        <w:t>» и Международный экономический форум «Новые возможности и перспективы сотрудничества».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Увеличению экспорта и укреплению торгово-экономического сотрудничества с зарубежными странами содействовали Соглашения по торгово-экономическому, научно-техническому и культурному сотрудничеству с зарубежными странами. По состоянию на 1 декабря 2017 года Гродненским облисполкомом </w:t>
      </w:r>
      <w:proofErr w:type="gramStart"/>
      <w:r w:rsidRPr="00084E9E">
        <w:rPr>
          <w:rFonts w:ascii="Times New Roman" w:hAnsi="Times New Roman" w:cs="Times New Roman"/>
          <w:sz w:val="30"/>
          <w:szCs w:val="30"/>
        </w:rPr>
        <w:t>заключены</w:t>
      </w:r>
      <w:proofErr w:type="gramEnd"/>
      <w:r w:rsidRPr="00084E9E">
        <w:rPr>
          <w:rFonts w:ascii="Times New Roman" w:hAnsi="Times New Roman" w:cs="Times New Roman"/>
          <w:sz w:val="30"/>
          <w:szCs w:val="30"/>
        </w:rPr>
        <w:t xml:space="preserve"> и действуют 47 международных документов (соглашений) с регионами иностранных государств.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экономику области привлечено около 13 </w:t>
      </w:r>
      <w:proofErr w:type="spellStart"/>
      <w:r w:rsidRPr="00084E9E">
        <w:rPr>
          <w:rFonts w:ascii="Times New Roman" w:hAnsi="Times New Roman" w:cs="Times New Roman"/>
          <w:sz w:val="30"/>
          <w:szCs w:val="30"/>
        </w:rPr>
        <w:t>млрд</w:t>
      </w:r>
      <w:proofErr w:type="gramStart"/>
      <w:r w:rsidRPr="00084E9E">
        <w:rPr>
          <w:rFonts w:ascii="Times New Roman" w:hAnsi="Times New Roman" w:cs="Times New Roman"/>
          <w:sz w:val="30"/>
          <w:szCs w:val="30"/>
        </w:rPr>
        <w:t>.р</w:t>
      </w:r>
      <w:proofErr w:type="gramEnd"/>
      <w:r w:rsidRPr="00084E9E">
        <w:rPr>
          <w:rFonts w:ascii="Times New Roman" w:hAnsi="Times New Roman" w:cs="Times New Roman"/>
          <w:sz w:val="30"/>
          <w:szCs w:val="30"/>
        </w:rPr>
        <w:t>ублей</w:t>
      </w:r>
      <w:proofErr w:type="spellEnd"/>
      <w:r w:rsidRPr="00084E9E">
        <w:rPr>
          <w:rFonts w:ascii="Times New Roman" w:hAnsi="Times New Roman" w:cs="Times New Roman"/>
          <w:sz w:val="30"/>
          <w:szCs w:val="30"/>
        </w:rPr>
        <w:t xml:space="preserve"> инвестиций в основной капитал,  в том числе в январе-ноябре  2017 года – 3,2 </w:t>
      </w:r>
      <w:proofErr w:type="spellStart"/>
      <w:r w:rsidRPr="00084E9E">
        <w:rPr>
          <w:rFonts w:ascii="Times New Roman" w:hAnsi="Times New Roman" w:cs="Times New Roman"/>
          <w:sz w:val="30"/>
          <w:szCs w:val="30"/>
        </w:rPr>
        <w:t>млрд.рублей</w:t>
      </w:r>
      <w:proofErr w:type="spellEnd"/>
      <w:r w:rsidRPr="00084E9E">
        <w:rPr>
          <w:rFonts w:ascii="Times New Roman" w:hAnsi="Times New Roman" w:cs="Times New Roman"/>
          <w:sz w:val="30"/>
          <w:szCs w:val="30"/>
        </w:rPr>
        <w:t xml:space="preserve"> (темп роста к уровню января-ноября 2016 года составил 124,2%).</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 xml:space="preserve">Объем иностранных инвестиций за этот же период составил более 1,5 млрд.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Реализованы значимые для экономики области инвестиционные проекты:</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организация производства и последующая эксплуатация деревообрабатывающего завода </w:t>
      </w:r>
      <w:proofErr w:type="spellStart"/>
      <w:r w:rsidRPr="00084E9E">
        <w:rPr>
          <w:rFonts w:ascii="Times New Roman" w:hAnsi="Times New Roman" w:cs="Times New Roman"/>
          <w:sz w:val="30"/>
          <w:szCs w:val="30"/>
        </w:rPr>
        <w:t>Кроноспан</w:t>
      </w:r>
      <w:proofErr w:type="spellEnd"/>
      <w:r w:rsidRPr="00084E9E">
        <w:rPr>
          <w:rFonts w:ascii="Times New Roman" w:hAnsi="Times New Roman" w:cs="Times New Roman"/>
          <w:sz w:val="30"/>
          <w:szCs w:val="30"/>
        </w:rPr>
        <w:t xml:space="preserve"> в г. Сморгони» ИООО «</w:t>
      </w:r>
      <w:proofErr w:type="spellStart"/>
      <w:r w:rsidRPr="00084E9E">
        <w:rPr>
          <w:rFonts w:ascii="Times New Roman" w:hAnsi="Times New Roman" w:cs="Times New Roman"/>
          <w:sz w:val="30"/>
          <w:szCs w:val="30"/>
        </w:rPr>
        <w:t>Кроноспан</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вертикально-интегрированного комплекса по промышленному производству продукции из мяса индейки» ЗАО «</w:t>
      </w:r>
      <w:proofErr w:type="spellStart"/>
      <w:r w:rsidRPr="00084E9E">
        <w:rPr>
          <w:rFonts w:ascii="Times New Roman" w:hAnsi="Times New Roman" w:cs="Times New Roman"/>
          <w:sz w:val="30"/>
          <w:szCs w:val="30"/>
        </w:rPr>
        <w:t>МариямполесАрви</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предприятия по механической сортировке отходов» ГОУП «УКС Гродненского облисполкома»;</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цеха по производству сырокопченых изделий» ОАО «Гродненский мясокомбинат»;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«Реконструкция производственного корпуса под цех по производству сычужных сыров мощностью 40 тонн в сутки» ОАО «Молочный Мир»;</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завода по переработке сыворотки и производству </w:t>
      </w:r>
      <w:proofErr w:type="spellStart"/>
      <w:r w:rsidRPr="00084E9E">
        <w:rPr>
          <w:rFonts w:ascii="Times New Roman" w:hAnsi="Times New Roman" w:cs="Times New Roman"/>
          <w:sz w:val="30"/>
          <w:szCs w:val="30"/>
        </w:rPr>
        <w:t>сывороточно</w:t>
      </w:r>
      <w:proofErr w:type="spellEnd"/>
      <w:r w:rsidRPr="00084E9E">
        <w:rPr>
          <w:rFonts w:ascii="Times New Roman" w:hAnsi="Times New Roman" w:cs="Times New Roman"/>
          <w:sz w:val="30"/>
          <w:szCs w:val="30"/>
        </w:rPr>
        <w:t>-жирового концентрата в г. Щучин» ООО «</w:t>
      </w:r>
      <w:proofErr w:type="spellStart"/>
      <w:r w:rsidRPr="00084E9E">
        <w:rPr>
          <w:rFonts w:ascii="Times New Roman" w:hAnsi="Times New Roman" w:cs="Times New Roman"/>
          <w:sz w:val="30"/>
          <w:szCs w:val="30"/>
        </w:rPr>
        <w:t>Праймилк</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производства фруктово-ягодных наполнителей в г. Волковыске» ИООО «БЕЛ-ОБСТ»;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 xml:space="preserve">«Строительство </w:t>
      </w:r>
      <w:proofErr w:type="spellStart"/>
      <w:r w:rsidRPr="00084E9E">
        <w:rPr>
          <w:rFonts w:ascii="Times New Roman" w:hAnsi="Times New Roman" w:cs="Times New Roman"/>
          <w:sz w:val="30"/>
          <w:szCs w:val="30"/>
        </w:rPr>
        <w:t>агрологистического</w:t>
      </w:r>
      <w:proofErr w:type="spellEnd"/>
      <w:r w:rsidRPr="00084E9E">
        <w:rPr>
          <w:rFonts w:ascii="Times New Roman" w:hAnsi="Times New Roman" w:cs="Times New Roman"/>
          <w:sz w:val="30"/>
          <w:szCs w:val="30"/>
        </w:rPr>
        <w:t xml:space="preserve"> центра в г. Сморгонь» ООО «</w:t>
      </w:r>
      <w:proofErr w:type="spellStart"/>
      <w:r w:rsidRPr="00084E9E">
        <w:rPr>
          <w:rFonts w:ascii="Times New Roman" w:hAnsi="Times New Roman" w:cs="Times New Roman"/>
          <w:sz w:val="30"/>
          <w:szCs w:val="30"/>
        </w:rPr>
        <w:t>Белагротерминал</w:t>
      </w:r>
      <w:proofErr w:type="spellEnd"/>
      <w:r w:rsidRPr="00084E9E">
        <w:rPr>
          <w:rFonts w:ascii="Times New Roman" w:hAnsi="Times New Roman" w:cs="Times New Roman"/>
          <w:sz w:val="30"/>
          <w:szCs w:val="30"/>
        </w:rPr>
        <w:t>»;</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транспортно-логистического центра в районе пункта пропуска «</w:t>
      </w:r>
      <w:proofErr w:type="spellStart"/>
      <w:r w:rsidRPr="00084E9E">
        <w:rPr>
          <w:rFonts w:ascii="Times New Roman" w:hAnsi="Times New Roman" w:cs="Times New Roman"/>
          <w:sz w:val="30"/>
          <w:szCs w:val="30"/>
        </w:rPr>
        <w:t>Брузги</w:t>
      </w:r>
      <w:proofErr w:type="spellEnd"/>
      <w:r w:rsidRPr="00084E9E">
        <w:rPr>
          <w:rFonts w:ascii="Times New Roman" w:hAnsi="Times New Roman" w:cs="Times New Roman"/>
          <w:sz w:val="30"/>
          <w:szCs w:val="30"/>
        </w:rPr>
        <w:t>» ООО «</w:t>
      </w:r>
      <w:proofErr w:type="spellStart"/>
      <w:r w:rsidRPr="00084E9E">
        <w:rPr>
          <w:rFonts w:ascii="Times New Roman" w:hAnsi="Times New Roman" w:cs="Times New Roman"/>
          <w:sz w:val="30"/>
          <w:szCs w:val="30"/>
        </w:rPr>
        <w:t>Влате</w:t>
      </w:r>
      <w:proofErr w:type="spellEnd"/>
      <w:r w:rsidRPr="00084E9E">
        <w:rPr>
          <w:rFonts w:ascii="Times New Roman" w:hAnsi="Times New Roman" w:cs="Times New Roman"/>
          <w:sz w:val="30"/>
          <w:szCs w:val="30"/>
        </w:rPr>
        <w:t xml:space="preserve"> Логистик»;</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на территории Гродненской области санатория «Радон-Альфа» на 250 мест с полным комплексом обслуживания» ООО «ТОРВЛАД».</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2013 году в </w:t>
      </w:r>
      <w:proofErr w:type="spellStart"/>
      <w:r w:rsidRPr="00084E9E">
        <w:rPr>
          <w:rFonts w:ascii="Times New Roman" w:hAnsi="Times New Roman" w:cs="Times New Roman"/>
          <w:sz w:val="30"/>
          <w:szCs w:val="30"/>
        </w:rPr>
        <w:t>Островецком</w:t>
      </w:r>
      <w:proofErr w:type="spellEnd"/>
      <w:r w:rsidRPr="00084E9E">
        <w:rPr>
          <w:rFonts w:ascii="Times New Roman" w:hAnsi="Times New Roman" w:cs="Times New Roman"/>
          <w:sz w:val="30"/>
          <w:szCs w:val="30"/>
        </w:rPr>
        <w:t xml:space="preserve"> районе начаты работы по возведению Белорусской атомной электростанции.</w:t>
      </w:r>
    </w:p>
    <w:p w:rsidR="00787AAC" w:rsidRPr="00787AAC" w:rsidRDefault="00787AAC" w:rsidP="00787AAC">
      <w:pPr>
        <w:pStyle w:val="a3"/>
        <w:ind w:left="-284" w:firstLine="709"/>
        <w:jc w:val="both"/>
        <w:rPr>
          <w:rFonts w:ascii="Times New Roman" w:hAnsi="Times New Roman" w:cs="Times New Roman"/>
          <w:b/>
          <w:i/>
          <w:sz w:val="28"/>
          <w:szCs w:val="28"/>
        </w:rPr>
      </w:pPr>
      <w:proofErr w:type="gramStart"/>
      <w:r w:rsidRPr="00DD7551">
        <w:rPr>
          <w:rFonts w:ascii="Times New Roman" w:hAnsi="Times New Roman" w:cs="Times New Roman"/>
          <w:b/>
          <w:i/>
          <w:sz w:val="28"/>
          <w:szCs w:val="28"/>
        </w:rPr>
        <w:t xml:space="preserve">В экономику </w:t>
      </w:r>
      <w:proofErr w:type="spellStart"/>
      <w:r w:rsidRPr="00DD7551">
        <w:rPr>
          <w:rFonts w:ascii="Times New Roman" w:hAnsi="Times New Roman" w:cs="Times New Roman"/>
          <w:b/>
          <w:i/>
          <w:sz w:val="28"/>
          <w:szCs w:val="28"/>
        </w:rPr>
        <w:t>Зельвенского</w:t>
      </w:r>
      <w:proofErr w:type="spellEnd"/>
      <w:r w:rsidRPr="00DD7551">
        <w:rPr>
          <w:rFonts w:ascii="Times New Roman" w:hAnsi="Times New Roman" w:cs="Times New Roman"/>
          <w:b/>
          <w:i/>
          <w:sz w:val="28"/>
          <w:szCs w:val="28"/>
        </w:rPr>
        <w:t xml:space="preserve"> района с 2012 года привлечено около 128  млн. рублей инвестиций в основной капитал,  в том числе в 2017 году – 23,7млн. рублей (темп роста к уровню 2016 года составил 166,2%). 37,0% районного объема инвестиций в основной капитал в прошедшем году  привлечено обществом с ограниченной ответственностью «</w:t>
      </w:r>
      <w:proofErr w:type="spellStart"/>
      <w:r w:rsidRPr="00DD7551">
        <w:rPr>
          <w:rFonts w:ascii="Times New Roman" w:hAnsi="Times New Roman" w:cs="Times New Roman"/>
          <w:b/>
          <w:i/>
          <w:sz w:val="28"/>
          <w:szCs w:val="28"/>
        </w:rPr>
        <w:t>Зилант</w:t>
      </w:r>
      <w:proofErr w:type="spellEnd"/>
      <w:r w:rsidRPr="00DD7551">
        <w:rPr>
          <w:rFonts w:ascii="Times New Roman" w:hAnsi="Times New Roman" w:cs="Times New Roman"/>
          <w:b/>
          <w:i/>
          <w:sz w:val="28"/>
          <w:szCs w:val="28"/>
        </w:rPr>
        <w:t xml:space="preserve">» на строительство </w:t>
      </w:r>
      <w:proofErr w:type="spellStart"/>
      <w:r w:rsidRPr="00DD7551">
        <w:rPr>
          <w:rFonts w:ascii="Times New Roman" w:hAnsi="Times New Roman" w:cs="Times New Roman"/>
          <w:b/>
          <w:i/>
          <w:sz w:val="28"/>
          <w:szCs w:val="28"/>
        </w:rPr>
        <w:t>ветропарка</w:t>
      </w:r>
      <w:proofErr w:type="spellEnd"/>
      <w:r w:rsidRPr="00DD7551">
        <w:rPr>
          <w:rFonts w:ascii="Times New Roman" w:hAnsi="Times New Roman" w:cs="Times New Roman"/>
          <w:b/>
          <w:i/>
          <w:sz w:val="28"/>
          <w:szCs w:val="28"/>
        </w:rPr>
        <w:t>.</w:t>
      </w:r>
      <w:proofErr w:type="gramEnd"/>
      <w:r w:rsidRPr="00DD7551">
        <w:rPr>
          <w:rFonts w:ascii="Times New Roman" w:hAnsi="Times New Roman" w:cs="Times New Roman"/>
          <w:b/>
          <w:i/>
          <w:sz w:val="28"/>
          <w:szCs w:val="28"/>
        </w:rPr>
        <w:t xml:space="preserve"> Всего обществом инвестировано в экономику района 8,8 млн. рублей. В настоящее время ведутся работы по вводу объекта в эксплуатацию.</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Главной целью развития области в 2018 году является рост конкурентоспособности экономики на основе эффективного использования местного ресурсного потенциала и конкурентных преимуще</w:t>
      </w:r>
      <w:proofErr w:type="gramStart"/>
      <w:r w:rsidRPr="00084E9E">
        <w:rPr>
          <w:rFonts w:ascii="Times New Roman" w:hAnsi="Times New Roman" w:cs="Times New Roman"/>
          <w:sz w:val="30"/>
          <w:szCs w:val="30"/>
        </w:rPr>
        <w:t>ств дл</w:t>
      </w:r>
      <w:proofErr w:type="gramEnd"/>
      <w:r w:rsidRPr="00084E9E">
        <w:rPr>
          <w:rFonts w:ascii="Times New Roman" w:hAnsi="Times New Roman" w:cs="Times New Roman"/>
          <w:sz w:val="30"/>
          <w:szCs w:val="30"/>
        </w:rPr>
        <w:t xml:space="preserve">я повышения качества и уровня жизни населения. </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Для достижения главной цели планируется  решение следующих задач:</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содействие росту занятости населения и обеспечение роста заработной платы в увязке с производительностью труда  (реальная заработная плата планируется на уровне 102,2%, производительность труда – 103,6%);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усиление роли малого и среднего бизнеса (удельный вес занятых в </w:t>
      </w:r>
      <w:proofErr w:type="spellStart"/>
      <w:r w:rsidRPr="00084E9E">
        <w:rPr>
          <w:rFonts w:ascii="Times New Roman" w:hAnsi="Times New Roman" w:cs="Times New Roman"/>
          <w:sz w:val="30"/>
          <w:szCs w:val="30"/>
        </w:rPr>
        <w:t>микроорганизациях</w:t>
      </w:r>
      <w:proofErr w:type="spellEnd"/>
      <w:r w:rsidRPr="00084E9E">
        <w:rPr>
          <w:rFonts w:ascii="Times New Roman" w:hAnsi="Times New Roman" w:cs="Times New Roman"/>
          <w:sz w:val="30"/>
          <w:szCs w:val="30"/>
        </w:rPr>
        <w:t xml:space="preserve">, малых и средних организациях (без внешних </w:t>
      </w:r>
      <w:r w:rsidRPr="00084E9E">
        <w:rPr>
          <w:rFonts w:ascii="Times New Roman" w:hAnsi="Times New Roman" w:cs="Times New Roman"/>
          <w:sz w:val="30"/>
          <w:szCs w:val="30"/>
        </w:rPr>
        <w:lastRenderedPageBreak/>
        <w:t>совместителей), а также индивидуальных предпринимателей и привлекаемых ими наемных лиц в общей численности занятых в экономике региона увеличится до 28,7%)</w:t>
      </w:r>
      <w:r w:rsidR="006B5FC0">
        <w:rPr>
          <w:rFonts w:ascii="Times New Roman" w:hAnsi="Times New Roman" w:cs="Times New Roman"/>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активизация инвестиционных процессов, создание благоприятных условий для привлечения в область прямых иностранных инвестиций (планируется привлечь 70 млн. долл. США прямых иностранных инвестиций на чистой основе, 80% которых планируется привлечь за счет реализации значимых для экономики области инвестиционных проектов с участием иностранных инвесторов);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эффективной инновационной системы (планируется реализация 5  инновационных проектов);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повышение эффективности внешнеэкономической деятельности (темп роста экспорта товаров без учета организаций, подчиненных республиканским органам </w:t>
      </w:r>
      <w:proofErr w:type="spellStart"/>
      <w:r w:rsidRPr="00084E9E">
        <w:rPr>
          <w:rFonts w:ascii="Times New Roman" w:hAnsi="Times New Roman" w:cs="Times New Roman"/>
          <w:sz w:val="30"/>
          <w:szCs w:val="30"/>
        </w:rPr>
        <w:t>госуправления</w:t>
      </w:r>
      <w:proofErr w:type="spellEnd"/>
      <w:r w:rsidRPr="00084E9E">
        <w:rPr>
          <w:rFonts w:ascii="Times New Roman" w:hAnsi="Times New Roman" w:cs="Times New Roman"/>
          <w:sz w:val="30"/>
          <w:szCs w:val="30"/>
        </w:rPr>
        <w:t xml:space="preserve">, планируется на уровне 105,6%; экспорта услуг без учета организаций, подчиненных республиканским органам </w:t>
      </w:r>
      <w:proofErr w:type="spellStart"/>
      <w:r w:rsidRPr="00084E9E">
        <w:rPr>
          <w:rFonts w:ascii="Times New Roman" w:hAnsi="Times New Roman" w:cs="Times New Roman"/>
          <w:sz w:val="30"/>
          <w:szCs w:val="30"/>
        </w:rPr>
        <w:t>госуправления</w:t>
      </w:r>
      <w:proofErr w:type="spellEnd"/>
      <w:r w:rsidRPr="00084E9E">
        <w:rPr>
          <w:rFonts w:ascii="Times New Roman" w:hAnsi="Times New Roman" w:cs="Times New Roman"/>
          <w:sz w:val="30"/>
          <w:szCs w:val="30"/>
        </w:rPr>
        <w:t>, – 104,0%.).</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Центрами роста экономики области будут г. Гродно,  Гродненский, Лидский, </w:t>
      </w:r>
      <w:proofErr w:type="spellStart"/>
      <w:r w:rsidRPr="00084E9E">
        <w:rPr>
          <w:rFonts w:ascii="Times New Roman" w:hAnsi="Times New Roman" w:cs="Times New Roman"/>
          <w:sz w:val="30"/>
          <w:szCs w:val="30"/>
        </w:rPr>
        <w:t>Островецкий</w:t>
      </w:r>
      <w:proofErr w:type="spellEnd"/>
      <w:r w:rsidRPr="00084E9E">
        <w:rPr>
          <w:rFonts w:ascii="Times New Roman" w:hAnsi="Times New Roman" w:cs="Times New Roman"/>
          <w:sz w:val="30"/>
          <w:szCs w:val="30"/>
        </w:rPr>
        <w:t xml:space="preserve">, Мостовский, </w:t>
      </w:r>
      <w:proofErr w:type="spellStart"/>
      <w:r w:rsidRPr="00084E9E">
        <w:rPr>
          <w:rFonts w:ascii="Times New Roman" w:hAnsi="Times New Roman" w:cs="Times New Roman"/>
          <w:sz w:val="30"/>
          <w:szCs w:val="30"/>
        </w:rPr>
        <w:t>Сморгонский</w:t>
      </w:r>
      <w:proofErr w:type="spellEnd"/>
      <w:r w:rsidRPr="00084E9E">
        <w:rPr>
          <w:rFonts w:ascii="Times New Roman" w:hAnsi="Times New Roman" w:cs="Times New Roman"/>
          <w:sz w:val="30"/>
          <w:szCs w:val="30"/>
        </w:rPr>
        <w:t xml:space="preserve">, Волковысский и Слонимский районы. В них сформированы точки роста в сфере химического производства, агропромышленного комплекса и производства пищевых продуктов, включая напитки и табак, обработки древесины и производства изделий из дерева.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центров экономического роста будет осуществляться за счет усиления региональной специализации и углубления локализации производства продукции. Здесь главным инструментом развития станет привлечение прямых иностранных инвестиций, которых в 2018 году планируется привлечь не менее 67,5 млн.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целях сокращения межрегиональной дифференциации в уровне и качестве жизни населения, обеспечения устойчивого развития районов вне центров экономического роста планируется создание более 670 новых рабочих мест  за счет создания  новых предприятий и производств, базирующихся на местных сырьевых ресурсах,  дальнейшее развитие туризма, крестьянско-фермерских хозяйств.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Эффективная занятость станет основой для роста производительности труда, доходов населения и гарантией социальной стабильности.</w:t>
      </w:r>
    </w:p>
    <w:p w:rsidR="00FE170C"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Реализация   обозначенных задач и направлений развития в 2018 году позволит обеспечить  ВРП на уровне 103,6%.</w:t>
      </w:r>
    </w:p>
    <w:p w:rsidR="00084E9E" w:rsidRDefault="00084E9E" w:rsidP="004D7D4A">
      <w:pPr>
        <w:pStyle w:val="a3"/>
        <w:ind w:firstLine="708"/>
        <w:jc w:val="both"/>
        <w:rPr>
          <w:rFonts w:ascii="Times New Roman" w:hAnsi="Times New Roman" w:cs="Times New Roman"/>
          <w:sz w:val="30"/>
          <w:szCs w:val="30"/>
        </w:rPr>
      </w:pPr>
    </w:p>
    <w:p w:rsidR="00084E9E" w:rsidRPr="00C429F6" w:rsidRDefault="006B5FC0" w:rsidP="006B5FC0">
      <w:pPr>
        <w:pStyle w:val="a3"/>
        <w:jc w:val="center"/>
        <w:rPr>
          <w:rFonts w:ascii="Times New Roman" w:hAnsi="Times New Roman" w:cs="Times New Roman"/>
          <w:b/>
          <w:sz w:val="30"/>
          <w:szCs w:val="30"/>
        </w:rPr>
      </w:pPr>
      <w:r>
        <w:rPr>
          <w:rFonts w:ascii="Times New Roman" w:hAnsi="Times New Roman" w:cs="Times New Roman"/>
          <w:b/>
          <w:sz w:val="30"/>
          <w:szCs w:val="30"/>
        </w:rPr>
        <w:t>С</w:t>
      </w:r>
      <w:r w:rsidR="00084E9E" w:rsidRPr="00C429F6">
        <w:rPr>
          <w:rFonts w:ascii="Times New Roman" w:hAnsi="Times New Roman" w:cs="Times New Roman"/>
          <w:b/>
          <w:sz w:val="30"/>
          <w:szCs w:val="30"/>
        </w:rPr>
        <w:t>ельскохозяйственно</w:t>
      </w:r>
      <w:r>
        <w:rPr>
          <w:rFonts w:ascii="Times New Roman" w:hAnsi="Times New Roman" w:cs="Times New Roman"/>
          <w:b/>
          <w:sz w:val="30"/>
          <w:szCs w:val="30"/>
        </w:rPr>
        <w:t>е</w:t>
      </w:r>
      <w:r w:rsidR="00084E9E" w:rsidRPr="00C429F6">
        <w:rPr>
          <w:rFonts w:ascii="Times New Roman" w:hAnsi="Times New Roman" w:cs="Times New Roman"/>
          <w:b/>
          <w:sz w:val="30"/>
          <w:szCs w:val="30"/>
        </w:rPr>
        <w:t xml:space="preserve"> производств</w:t>
      </w:r>
      <w:r w:rsidR="006D55A4">
        <w:rPr>
          <w:rFonts w:ascii="Times New Roman" w:hAnsi="Times New Roman" w:cs="Times New Roman"/>
          <w:b/>
          <w:sz w:val="30"/>
          <w:szCs w:val="30"/>
        </w:rPr>
        <w:t>о</w:t>
      </w:r>
    </w:p>
    <w:p w:rsidR="00084E9E" w:rsidRPr="00084E9E" w:rsidRDefault="00084E9E" w:rsidP="004D7D4A">
      <w:pPr>
        <w:pStyle w:val="a3"/>
        <w:ind w:firstLine="708"/>
        <w:jc w:val="both"/>
        <w:rPr>
          <w:rFonts w:ascii="Times New Roman" w:hAnsi="Times New Roman" w:cs="Times New Roman"/>
          <w:sz w:val="30"/>
          <w:szCs w:val="30"/>
        </w:rPr>
      </w:pPr>
      <w:proofErr w:type="spellStart"/>
      <w:r w:rsidRPr="00084E9E">
        <w:rPr>
          <w:rFonts w:ascii="Times New Roman" w:hAnsi="Times New Roman" w:cs="Times New Roman"/>
          <w:sz w:val="30"/>
          <w:szCs w:val="30"/>
        </w:rPr>
        <w:t>Гродненщина</w:t>
      </w:r>
      <w:proofErr w:type="spellEnd"/>
      <w:r w:rsidRPr="00084E9E">
        <w:rPr>
          <w:rFonts w:ascii="Times New Roman" w:hAnsi="Times New Roman" w:cs="Times New Roman"/>
          <w:sz w:val="30"/>
          <w:szCs w:val="30"/>
        </w:rPr>
        <w:t xml:space="preserve"> – развитый аграрный регион страны. На 1 января 2017 года производством сельскохозяйственной продукции занимались 158 организаций, 354 крестьянских (фермерских) хозяйств и 135,5 тысячи личных подсобных хозяй</w:t>
      </w:r>
      <w:proofErr w:type="gramStart"/>
      <w:r w:rsidRPr="00084E9E">
        <w:rPr>
          <w:rFonts w:ascii="Times New Roman" w:hAnsi="Times New Roman" w:cs="Times New Roman"/>
          <w:sz w:val="30"/>
          <w:szCs w:val="30"/>
        </w:rPr>
        <w:t>ств гр</w:t>
      </w:r>
      <w:proofErr w:type="gramEnd"/>
      <w:r w:rsidRPr="00084E9E">
        <w:rPr>
          <w:rFonts w:ascii="Times New Roman" w:hAnsi="Times New Roman" w:cs="Times New Roman"/>
          <w:sz w:val="30"/>
          <w:szCs w:val="30"/>
        </w:rPr>
        <w:t xml:space="preserve">аждан.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Во всех категор</w:t>
      </w:r>
      <w:r w:rsidR="006D55A4">
        <w:rPr>
          <w:rFonts w:ascii="Times New Roman" w:hAnsi="Times New Roman" w:cs="Times New Roman"/>
          <w:sz w:val="30"/>
          <w:szCs w:val="30"/>
        </w:rPr>
        <w:t>и</w:t>
      </w:r>
      <w:r w:rsidRPr="00084E9E">
        <w:rPr>
          <w:rFonts w:ascii="Times New Roman" w:hAnsi="Times New Roman" w:cs="Times New Roman"/>
          <w:sz w:val="30"/>
          <w:szCs w:val="30"/>
        </w:rPr>
        <w:t xml:space="preserve">ях хозяйств имеется в наличии 2512,7 тысяч гектаров земель, в том числе сельскохозяйственных угодий 1230,8 тысячи гектаров, из них во владении и пользовании сельскохозяйственных предприятий –1086,8 тысячи гектаров. Всего в сельскохозяйственном производстве области занято около 56 тысяч человек.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Основной отраслью сельского хозяйства является молочное и мясное животноводство, значимой — птицеводство. Удельный вес продукции этой отрасли в общем объеме производства  составляет около 60 процентов.</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Производство сельскохозяйственной продукции за период с 2012 </w:t>
      </w:r>
      <w:proofErr w:type="gramStart"/>
      <w:r w:rsidRPr="00084E9E">
        <w:rPr>
          <w:rFonts w:ascii="Times New Roman" w:hAnsi="Times New Roman" w:cs="Times New Roman"/>
          <w:sz w:val="30"/>
          <w:szCs w:val="30"/>
        </w:rPr>
        <w:t>по</w:t>
      </w:r>
      <w:proofErr w:type="gramEnd"/>
      <w:r w:rsidRPr="00084E9E">
        <w:rPr>
          <w:rFonts w:ascii="Times New Roman" w:hAnsi="Times New Roman" w:cs="Times New Roman"/>
          <w:sz w:val="30"/>
          <w:szCs w:val="30"/>
        </w:rPr>
        <w:t xml:space="preserve"> 2016 годы во всех категориях хозяйств увеличилось на 5,8%, в сельскохозяйственных организациях – на 9,1 %. Согласно предварительным расчетам за 2017 года во всех категориях хозяйств объем производства увеличится на 5,0 %, в сельскохозяйственных организациях – на 6,2 %, на 2018 год планируется соответственно – 103,2 и 104,5 %.</w:t>
      </w:r>
    </w:p>
    <w:p w:rsidR="00C429F6" w:rsidRPr="00084E9E" w:rsidRDefault="00C429F6" w:rsidP="006D55A4">
      <w:pPr>
        <w:pStyle w:val="a3"/>
        <w:jc w:val="both"/>
        <w:rPr>
          <w:rFonts w:ascii="Times New Roman" w:hAnsi="Times New Roman" w:cs="Times New Roman"/>
          <w:sz w:val="30"/>
          <w:szCs w:val="30"/>
        </w:rPr>
      </w:pPr>
      <w:r w:rsidRPr="00C429F6">
        <w:rPr>
          <w:rFonts w:ascii="Times New Roman" w:hAnsi="Times New Roman" w:cs="Times New Roman"/>
          <w:noProof/>
          <w:sz w:val="30"/>
          <w:szCs w:val="30"/>
          <w:lang w:eastAsia="ru-RU"/>
        </w:rPr>
        <w:drawing>
          <wp:inline distT="0" distB="0" distL="0" distR="0">
            <wp:extent cx="6187044" cy="2268187"/>
            <wp:effectExtent l="0" t="0" r="4445"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29F6" w:rsidRDefault="00C429F6" w:rsidP="004D7D4A">
      <w:pPr>
        <w:pStyle w:val="a3"/>
        <w:ind w:firstLine="708"/>
        <w:jc w:val="both"/>
        <w:rPr>
          <w:rFonts w:ascii="Times New Roman" w:hAnsi="Times New Roman" w:cs="Times New Roman"/>
          <w:b/>
          <w:sz w:val="30"/>
          <w:szCs w:val="30"/>
        </w:rPr>
      </w:pPr>
    </w:p>
    <w:p w:rsidR="00084E9E" w:rsidRPr="00C429F6" w:rsidRDefault="00084E9E" w:rsidP="004D7D4A">
      <w:pPr>
        <w:pStyle w:val="a3"/>
        <w:ind w:firstLine="708"/>
        <w:jc w:val="both"/>
        <w:rPr>
          <w:rFonts w:ascii="Times New Roman" w:hAnsi="Times New Roman" w:cs="Times New Roman"/>
          <w:b/>
          <w:sz w:val="30"/>
          <w:szCs w:val="30"/>
        </w:rPr>
      </w:pPr>
      <w:r w:rsidRPr="00C429F6">
        <w:rPr>
          <w:rFonts w:ascii="Times New Roman" w:hAnsi="Times New Roman" w:cs="Times New Roman"/>
          <w:b/>
          <w:sz w:val="30"/>
          <w:szCs w:val="30"/>
        </w:rPr>
        <w:t>Динамика валовой продукции в сельскохозяйственных организациях Гродненской области за 2012-2018 годы, процентов</w:t>
      </w:r>
      <w:r w:rsidR="00195032">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отрасли растениеводства ставилась задача увеличить объемы производства продукции, а также улучшить ее качество. Кроме того особое внимание уделялось снижению себестоимости производимой продукции и кормов, которые в конечном итоге влияют на себестоимость продукции животноводства, так как корма имеют основную долю в затратах в данной отрасли.</w:t>
      </w:r>
    </w:p>
    <w:p w:rsidR="00084E9E" w:rsidRPr="00084E9E" w:rsidRDefault="00084E9E" w:rsidP="004D7D4A">
      <w:pPr>
        <w:pStyle w:val="a3"/>
        <w:ind w:firstLine="708"/>
        <w:jc w:val="both"/>
        <w:rPr>
          <w:rFonts w:ascii="Times New Roman" w:hAnsi="Times New Roman" w:cs="Times New Roman"/>
          <w:sz w:val="30"/>
          <w:szCs w:val="30"/>
        </w:rPr>
      </w:pPr>
      <w:proofErr w:type="gramStart"/>
      <w:r w:rsidRPr="00084E9E">
        <w:rPr>
          <w:rFonts w:ascii="Times New Roman" w:hAnsi="Times New Roman" w:cs="Times New Roman"/>
          <w:sz w:val="30"/>
          <w:szCs w:val="30"/>
        </w:rPr>
        <w:t>Объем производства растениеводческой продукции с 2012 по 2017 годы увеличился на 10,2 %. В растениеводстве выполнение задач социально-экономического развития отрасли обеспечивается за счет повышения продуктивности сельскохозяйственных угодий путем соблюдения технологических регламентов выращивания культур и усовершенствования технологических приемов, а также применения новых и перспективных сортов и гибридов сельскохозяйственных культур, более широкого применения элементов точного земледелия, а именно спутниковой навигации, которая позволит более</w:t>
      </w:r>
      <w:proofErr w:type="gramEnd"/>
      <w:r w:rsidRPr="00084E9E">
        <w:rPr>
          <w:rFonts w:ascii="Times New Roman" w:hAnsi="Times New Roman" w:cs="Times New Roman"/>
          <w:sz w:val="30"/>
          <w:szCs w:val="30"/>
        </w:rPr>
        <w:t xml:space="preserve"> точно, без пропусков и перекрытий междурядий вносить средства химизации и др. </w:t>
      </w:r>
    </w:p>
    <w:p w:rsidR="003B0E16" w:rsidRPr="00084E9E" w:rsidRDefault="003B0E16" w:rsidP="004D7D4A">
      <w:pPr>
        <w:pStyle w:val="a3"/>
        <w:jc w:val="both"/>
        <w:rPr>
          <w:rFonts w:ascii="Times New Roman" w:hAnsi="Times New Roman" w:cs="Times New Roman"/>
          <w:sz w:val="30"/>
          <w:szCs w:val="30"/>
        </w:rPr>
      </w:pPr>
      <w:r w:rsidRPr="003B0E16">
        <w:rPr>
          <w:rFonts w:ascii="Times New Roman" w:hAnsi="Times New Roman" w:cs="Times New Roman"/>
          <w:b/>
          <w:i/>
          <w:noProof/>
          <w:sz w:val="30"/>
          <w:szCs w:val="30"/>
          <w:lang w:eastAsia="ru-RU"/>
        </w:rPr>
        <w:lastRenderedPageBreak/>
        <w:drawing>
          <wp:inline distT="0" distB="0" distL="0" distR="0">
            <wp:extent cx="6210795" cy="204255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0E16" w:rsidRDefault="003B0E16" w:rsidP="004D7D4A">
      <w:pPr>
        <w:pStyle w:val="a3"/>
        <w:ind w:firstLine="708"/>
        <w:jc w:val="both"/>
        <w:rPr>
          <w:rFonts w:ascii="Times New Roman" w:hAnsi="Times New Roman" w:cs="Times New Roman"/>
          <w:sz w:val="30"/>
          <w:szCs w:val="30"/>
        </w:rPr>
      </w:pPr>
    </w:p>
    <w:p w:rsidR="00084E9E" w:rsidRPr="003B0E16" w:rsidRDefault="00084E9E" w:rsidP="004D7D4A">
      <w:pPr>
        <w:pStyle w:val="a3"/>
        <w:ind w:firstLine="708"/>
        <w:jc w:val="both"/>
        <w:rPr>
          <w:rFonts w:ascii="Times New Roman" w:hAnsi="Times New Roman" w:cs="Times New Roman"/>
          <w:b/>
          <w:sz w:val="30"/>
          <w:szCs w:val="30"/>
        </w:rPr>
      </w:pPr>
      <w:r w:rsidRPr="003B0E16">
        <w:rPr>
          <w:rFonts w:ascii="Times New Roman" w:hAnsi="Times New Roman" w:cs="Times New Roman"/>
          <w:b/>
          <w:sz w:val="30"/>
          <w:szCs w:val="30"/>
        </w:rPr>
        <w:t xml:space="preserve">Динамика производства зерна за 2012-2018 годы сельскохозяйственными организациями Гродненской области, </w:t>
      </w:r>
      <w:proofErr w:type="spellStart"/>
      <w:r w:rsidRPr="003B0E16">
        <w:rPr>
          <w:rFonts w:ascii="Times New Roman" w:hAnsi="Times New Roman" w:cs="Times New Roman"/>
          <w:b/>
          <w:sz w:val="30"/>
          <w:szCs w:val="30"/>
        </w:rPr>
        <w:t>тыс</w:t>
      </w:r>
      <w:proofErr w:type="gramStart"/>
      <w:r w:rsidRPr="003B0E16">
        <w:rPr>
          <w:rFonts w:ascii="Times New Roman" w:hAnsi="Times New Roman" w:cs="Times New Roman"/>
          <w:b/>
          <w:sz w:val="30"/>
          <w:szCs w:val="30"/>
        </w:rPr>
        <w:t>.т</w:t>
      </w:r>
      <w:proofErr w:type="gramEnd"/>
      <w:r w:rsidRPr="003B0E16">
        <w:rPr>
          <w:rFonts w:ascii="Times New Roman" w:hAnsi="Times New Roman" w:cs="Times New Roman"/>
          <w:b/>
          <w:sz w:val="30"/>
          <w:szCs w:val="30"/>
        </w:rPr>
        <w:t>онн</w:t>
      </w:r>
      <w:proofErr w:type="spellEnd"/>
      <w:r w:rsidRPr="003B0E16">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непростых климатических условиях получен неплохой урожай зерна, общий намолот составил 1393,9 тыс. тонн зерна в амбарном весе (114,4 % к 2016 году) при средней урожайности 39,5 центнера с гектара (плюс 4,0 ц/га). Необходимо отметить, что за последние годы. 2014 год был одним из самых лучших по производству зерна Сельскохозяйственными организациями, крестьянскими хозяйствами произведено 1756,7 тыс. тонн зерна зерновых и зернобобовых культур в весе после доработки. Таких результатов в производстве зерна Гродненской области </w:t>
      </w:r>
      <w:proofErr w:type="gramStart"/>
      <w:r w:rsidRPr="00084E9E">
        <w:rPr>
          <w:rFonts w:ascii="Times New Roman" w:hAnsi="Times New Roman" w:cs="Times New Roman"/>
          <w:sz w:val="30"/>
          <w:szCs w:val="30"/>
        </w:rPr>
        <w:t>повторить</w:t>
      </w:r>
      <w:proofErr w:type="gramEnd"/>
      <w:r w:rsidRPr="00084E9E">
        <w:rPr>
          <w:rFonts w:ascii="Times New Roman" w:hAnsi="Times New Roman" w:cs="Times New Roman"/>
          <w:sz w:val="30"/>
          <w:szCs w:val="30"/>
        </w:rPr>
        <w:t xml:space="preserve"> еще не удалось. На 2018 год запланировано произвести не менее 1580 тыс. тонн зерновых и зернобобовых культур.</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98919" cy="2303813"/>
            <wp:effectExtent l="0" t="0" r="0" b="12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картофеля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007A184F">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картофеля в сельскохозяйственных организациях с учетом крестьянских (фермерских) хозяйств в текущем году составило 174,5 тысячи тонн (110,7 % к 2016 году) урожайностью 344 ц/га, что на 97 ц/га выше уровня 2016 года. В связи с сокращением посевных площадей под картофель объем производства в 2018 году планируется на уровне 170 тыс. тонн.</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lastRenderedPageBreak/>
        <w:drawing>
          <wp:inline distT="0" distB="0" distL="0" distR="0">
            <wp:extent cx="6127667" cy="2161309"/>
            <wp:effectExtent l="0" t="0" r="698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сахарной свеклы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Pr="007A184F">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Большое внимание </w:t>
      </w:r>
      <w:proofErr w:type="gramStart"/>
      <w:r w:rsidRPr="00084E9E">
        <w:rPr>
          <w:rFonts w:ascii="Times New Roman" w:hAnsi="Times New Roman" w:cs="Times New Roman"/>
          <w:sz w:val="30"/>
          <w:szCs w:val="30"/>
        </w:rPr>
        <w:t>уделяется</w:t>
      </w:r>
      <w:proofErr w:type="gramEnd"/>
      <w:r w:rsidRPr="00084E9E">
        <w:rPr>
          <w:rFonts w:ascii="Times New Roman" w:hAnsi="Times New Roman" w:cs="Times New Roman"/>
          <w:sz w:val="30"/>
          <w:szCs w:val="30"/>
        </w:rPr>
        <w:t xml:space="preserve"> выращиваю такой высокоэффективной сельскохозяйственной культуре, как сахарная свекла. Необходимо отметить, что погодные условия в текущем году сдерживали темпы уборки данной культуры. В результате, за 2017 год сахарной свеклы накопано 1806 тыс. тонн урожайностью 531 ц/га. Удельный вес в валовом сборе республики в 2016 году составил около 40 процентов. В 2018 году сахарной свеклы планируется убрать 1840 тыс. тонн.</w:t>
      </w:r>
    </w:p>
    <w:p w:rsidR="007A184F"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27667" cy="1983180"/>
            <wp:effectExtent l="0" t="0" r="698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 xml:space="preserve">Динамика производства рапса за 2012-2018 годы сельскохозяйственными организациями Гродненской области, </w:t>
      </w:r>
      <w:proofErr w:type="spellStart"/>
      <w:r w:rsidRPr="007A184F">
        <w:rPr>
          <w:rFonts w:ascii="Times New Roman" w:hAnsi="Times New Roman" w:cs="Times New Roman"/>
          <w:b/>
          <w:sz w:val="30"/>
          <w:szCs w:val="30"/>
        </w:rPr>
        <w:t>тыс</w:t>
      </w:r>
      <w:proofErr w:type="gramStart"/>
      <w:r w:rsidRPr="007A184F">
        <w:rPr>
          <w:rFonts w:ascii="Times New Roman" w:hAnsi="Times New Roman" w:cs="Times New Roman"/>
          <w:b/>
          <w:sz w:val="30"/>
          <w:szCs w:val="30"/>
        </w:rPr>
        <w:t>.т</w:t>
      </w:r>
      <w:proofErr w:type="gramEnd"/>
      <w:r w:rsidRPr="007A184F">
        <w:rPr>
          <w:rFonts w:ascii="Times New Roman" w:hAnsi="Times New Roman" w:cs="Times New Roman"/>
          <w:b/>
          <w:sz w:val="30"/>
          <w:szCs w:val="30"/>
        </w:rPr>
        <w:t>онн</w:t>
      </w:r>
      <w:proofErr w:type="spellEnd"/>
      <w:r w:rsidRPr="007A184F">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proofErr w:type="spellStart"/>
      <w:r w:rsidRPr="00084E9E">
        <w:rPr>
          <w:rFonts w:ascii="Times New Roman" w:hAnsi="Times New Roman" w:cs="Times New Roman"/>
          <w:sz w:val="30"/>
          <w:szCs w:val="30"/>
        </w:rPr>
        <w:t>Маслосемян</w:t>
      </w:r>
      <w:proofErr w:type="spellEnd"/>
      <w:r w:rsidRPr="00084E9E">
        <w:rPr>
          <w:rFonts w:ascii="Times New Roman" w:hAnsi="Times New Roman" w:cs="Times New Roman"/>
          <w:sz w:val="30"/>
          <w:szCs w:val="30"/>
        </w:rPr>
        <w:t xml:space="preserve"> рапса в 2017 году произведено 134,7 тыс. тонн в весе после доработки, или в 2,2 раза выше 2016 года. Согласно запланированным площадям с учетом посевов озимого рапса планируется в 2018 году получить урожай на уровне текущего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области особое внимание уделяется выращиванию льна. В 2017 году валовой сбор льноволокна составил 5,4 тыс. тонн, урожайность – 8,7 ц/га. В 2018 году объем льноволокна планируется увеличить на 11,1 % и получить 6,0 тыс. тонн льноволокна.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Овощей выращено в 2017 году 69,9 тысячи тонн, или 104,1 % к 2016 году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Для полного обеспечения плодами в области большое внимание уделяется садоводству. Площадь плодово-ягодных насаждений в сельскохозяйственных организациях и фермерских хозяйствах составляет 4389 гектаров (в том числе в сельскохозяйственных организациях 3514 </w:t>
      </w:r>
      <w:r w:rsidRPr="00084E9E">
        <w:rPr>
          <w:rFonts w:ascii="Times New Roman" w:hAnsi="Times New Roman" w:cs="Times New Roman"/>
          <w:sz w:val="30"/>
          <w:szCs w:val="30"/>
        </w:rPr>
        <w:lastRenderedPageBreak/>
        <w:t xml:space="preserve">гектаров); из нее плодоносящая площадь – 2853 гектара (в том числе в сельскохозяйственных организациях 2331 гектар). За 2017 год посажено 252 гектара новых садов, в том числе в сельскохозяйственных организациях – 190 гектаров, по Государственной программе развития аграрного бизнеса в Республике Беларусь на 2016-2020 годы – 90 гектаров. В хозяйствах высаживаются саженцы по новейшим технологиям на карликовых подвоях. Кроме того возделываются и такие нетрадиционные ягодные культуры, как земляника, голубика.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Валовой сбор плодов и ягод сельскохозяйственными организациями в 2017 году составил 25,9 тысячи тонн. С целью улучшения сохранности и повышения товарности плодово-ягодной продукции в Гродненской области имеется 15 плодохранилищ общей емкостью 24,37 тысячи тонн хранения. В 2018 году планируется строительство 3 новых плодохранилищ емкостью 3,4 тысячи тонн.</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Важной отраслью сельского хозяйства является животноводство, формирующее более половины валовой продукции.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последние годы животноводческая отрасль Гродненской области значительно модернизировалась и, в особенности молочная отрасль. Так, в период с 2009 по 2017 годы в области построено 85 современных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мощностью 700 и более коров, проведена реконструкция 136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ферм под беспривязное содержание с установкой доильных залов и однотипным кормлением. Это позволило перевести 72,4 % молочных коров  от их общего наличия на фермы с доильными залами и круглогодовым стойловым содержанием. За январь - ноябрь 2017 года производство молока на 85 современных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комплексах  составило 347,8 тысячи тонн, или 32 % молока от всего произведенного по области.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Дальнейшая модернизация молочной отрасли будет сконцентрирована на завершение ранее начатых проектов по строительству и реконструкции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ферм. Так, на 1 декабря 2017 года в полном объеме не </w:t>
      </w:r>
      <w:proofErr w:type="gramStart"/>
      <w:r w:rsidRPr="00084E9E">
        <w:rPr>
          <w:rFonts w:ascii="Times New Roman" w:hAnsi="Times New Roman" w:cs="Times New Roman"/>
          <w:sz w:val="30"/>
          <w:szCs w:val="30"/>
        </w:rPr>
        <w:t>введены</w:t>
      </w:r>
      <w:proofErr w:type="gramEnd"/>
      <w:r w:rsidRPr="00084E9E">
        <w:rPr>
          <w:rFonts w:ascii="Times New Roman" w:hAnsi="Times New Roman" w:cs="Times New Roman"/>
          <w:sz w:val="30"/>
          <w:szCs w:val="30"/>
        </w:rPr>
        <w:t xml:space="preserve"> в эксплуатацию 27 </w:t>
      </w:r>
      <w:proofErr w:type="spellStart"/>
      <w:r w:rsidRPr="00084E9E">
        <w:rPr>
          <w:rFonts w:ascii="Times New Roman" w:hAnsi="Times New Roman" w:cs="Times New Roman"/>
          <w:sz w:val="30"/>
          <w:szCs w:val="30"/>
        </w:rPr>
        <w:t>молочнотоварных</w:t>
      </w:r>
      <w:proofErr w:type="spellEnd"/>
      <w:r w:rsidRPr="00084E9E">
        <w:rPr>
          <w:rFonts w:ascii="Times New Roman" w:hAnsi="Times New Roman" w:cs="Times New Roman"/>
          <w:sz w:val="30"/>
          <w:szCs w:val="30"/>
        </w:rPr>
        <w:t xml:space="preserve"> комплексов. </w:t>
      </w:r>
    </w:p>
    <w:p w:rsidR="00FC20C7" w:rsidRPr="00084E9E" w:rsidRDefault="00FC20C7" w:rsidP="006D55A4">
      <w:pPr>
        <w:pStyle w:val="a3"/>
        <w:jc w:val="both"/>
        <w:rPr>
          <w:rFonts w:ascii="Times New Roman" w:hAnsi="Times New Roman" w:cs="Times New Roman"/>
          <w:sz w:val="30"/>
          <w:szCs w:val="30"/>
        </w:rPr>
      </w:pPr>
      <w:r w:rsidRPr="00FC20C7">
        <w:rPr>
          <w:rFonts w:ascii="Times New Roman" w:hAnsi="Times New Roman" w:cs="Times New Roman"/>
          <w:b/>
          <w:i/>
          <w:noProof/>
          <w:sz w:val="30"/>
          <w:szCs w:val="30"/>
          <w:lang w:eastAsia="ru-RU"/>
        </w:rPr>
        <w:drawing>
          <wp:inline distT="0" distB="0" distL="0" distR="0">
            <wp:extent cx="5890161" cy="2173184"/>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4E9E" w:rsidRPr="00FC20C7" w:rsidRDefault="00084E9E" w:rsidP="004D7D4A">
      <w:pPr>
        <w:pStyle w:val="a3"/>
        <w:ind w:firstLine="708"/>
        <w:jc w:val="both"/>
        <w:rPr>
          <w:rFonts w:ascii="Times New Roman" w:hAnsi="Times New Roman" w:cs="Times New Roman"/>
          <w:b/>
          <w:sz w:val="30"/>
          <w:szCs w:val="30"/>
        </w:rPr>
      </w:pPr>
      <w:r w:rsidRPr="00FC20C7">
        <w:rPr>
          <w:rFonts w:ascii="Times New Roman" w:hAnsi="Times New Roman" w:cs="Times New Roman"/>
          <w:b/>
          <w:sz w:val="30"/>
          <w:szCs w:val="30"/>
        </w:rPr>
        <w:t xml:space="preserve">Производство молока за 2012-2018 </w:t>
      </w:r>
      <w:proofErr w:type="spellStart"/>
      <w:r w:rsidRPr="00FC20C7">
        <w:rPr>
          <w:rFonts w:ascii="Times New Roman" w:hAnsi="Times New Roman" w:cs="Times New Roman"/>
          <w:b/>
          <w:sz w:val="30"/>
          <w:szCs w:val="30"/>
        </w:rPr>
        <w:t>годысельскохозяйственными</w:t>
      </w:r>
      <w:proofErr w:type="spellEnd"/>
      <w:r w:rsidRPr="00FC20C7">
        <w:rPr>
          <w:rFonts w:ascii="Times New Roman" w:hAnsi="Times New Roman" w:cs="Times New Roman"/>
          <w:b/>
          <w:sz w:val="30"/>
          <w:szCs w:val="30"/>
        </w:rPr>
        <w:t xml:space="preserve"> организациями Гродненской области, </w:t>
      </w:r>
      <w:proofErr w:type="spellStart"/>
      <w:r w:rsidRPr="00FC20C7">
        <w:rPr>
          <w:rFonts w:ascii="Times New Roman" w:hAnsi="Times New Roman" w:cs="Times New Roman"/>
          <w:b/>
          <w:sz w:val="30"/>
          <w:szCs w:val="30"/>
        </w:rPr>
        <w:t>тыс</w:t>
      </w:r>
      <w:proofErr w:type="gramStart"/>
      <w:r w:rsidRPr="00FC20C7">
        <w:rPr>
          <w:rFonts w:ascii="Times New Roman" w:hAnsi="Times New Roman" w:cs="Times New Roman"/>
          <w:b/>
          <w:sz w:val="30"/>
          <w:szCs w:val="30"/>
        </w:rPr>
        <w:t>.т</w:t>
      </w:r>
      <w:proofErr w:type="gramEnd"/>
      <w:r w:rsidRPr="00FC20C7">
        <w:rPr>
          <w:rFonts w:ascii="Times New Roman" w:hAnsi="Times New Roman" w:cs="Times New Roman"/>
          <w:b/>
          <w:sz w:val="30"/>
          <w:szCs w:val="30"/>
        </w:rPr>
        <w:t>онн</w:t>
      </w:r>
      <w:proofErr w:type="spellEnd"/>
      <w:r w:rsidRPr="00FC20C7">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 xml:space="preserve">Среднегодовое производство молока с 2012 года увеличилось на 17,8 % и в 2017 году составит 1168,5 тысячи тонн. За этот период численность коров увеличилось на 24,4 тысячи голов, или на 12,3 %, при этом продуктивность дойного стада </w:t>
      </w:r>
      <w:proofErr w:type="gramStart"/>
      <w:r w:rsidRPr="00084E9E">
        <w:rPr>
          <w:rFonts w:ascii="Times New Roman" w:hAnsi="Times New Roman" w:cs="Times New Roman"/>
          <w:sz w:val="30"/>
          <w:szCs w:val="30"/>
        </w:rPr>
        <w:t>возросла на 111 кг составит</w:t>
      </w:r>
      <w:proofErr w:type="gramEnd"/>
      <w:r w:rsidRPr="00084E9E">
        <w:rPr>
          <w:rFonts w:ascii="Times New Roman" w:hAnsi="Times New Roman" w:cs="Times New Roman"/>
          <w:sz w:val="30"/>
          <w:szCs w:val="30"/>
        </w:rPr>
        <w:t xml:space="preserve"> по итогам 2017 года 5310 килограммов. В 2018 году в сельскохозяйственных организациях планируется надоить 1227 тыс. тонн молока, средний удой молока от коровы составит 5500 кг.</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Необходимо отметить, что в 2016 году в 42 сельскохозяйственных предприятиях (с учетом филиалов) области, или в 28,8 % от их общего количества, продуктивность молочных коров превысила шесть тысяч килограмм молока, в том числе в 5 – более восьми тысяч и в 2 - более девяти тысяч килограмм молока. Лидером области в получении молока от одной коровы является СПК «Свислочь» Гродненского района, где удой на корову составил 9262 килограмма.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Поголовье крупного рогатого скота области на 1 января 2017 года составило 680 тыс. голов, в том числе 221,9 тыс. коров. </w:t>
      </w:r>
    </w:p>
    <w:p w:rsidR="00084E9E" w:rsidRPr="006D55A4" w:rsidRDefault="00B201A8" w:rsidP="006D55A4">
      <w:pPr>
        <w:pStyle w:val="a3"/>
        <w:ind w:firstLine="708"/>
        <w:jc w:val="both"/>
        <w:rPr>
          <w:rFonts w:ascii="Times New Roman" w:hAnsi="Times New Roman" w:cs="Times New Roman"/>
          <w:sz w:val="30"/>
          <w:szCs w:val="30"/>
        </w:rPr>
      </w:pPr>
      <w:r w:rsidRPr="00B201A8">
        <w:rPr>
          <w:rFonts w:ascii="Times New Roman" w:hAnsi="Times New Roman" w:cs="Times New Roman"/>
          <w:noProof/>
          <w:sz w:val="30"/>
          <w:szCs w:val="30"/>
          <w:lang w:eastAsia="ru-RU"/>
        </w:rPr>
        <w:drawing>
          <wp:inline distT="0" distB="0" distL="0" distR="0">
            <wp:extent cx="5486400" cy="2208530"/>
            <wp:effectExtent l="0" t="0" r="0" b="12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4E9E" w:rsidRPr="00B201A8" w:rsidRDefault="00084E9E" w:rsidP="004D7D4A">
      <w:pPr>
        <w:pStyle w:val="a3"/>
        <w:ind w:firstLine="708"/>
        <w:jc w:val="both"/>
        <w:rPr>
          <w:rFonts w:ascii="Times New Roman" w:hAnsi="Times New Roman" w:cs="Times New Roman"/>
          <w:b/>
          <w:sz w:val="30"/>
          <w:szCs w:val="30"/>
        </w:rPr>
      </w:pPr>
      <w:r w:rsidRPr="00B201A8">
        <w:rPr>
          <w:rFonts w:ascii="Times New Roman" w:hAnsi="Times New Roman" w:cs="Times New Roman"/>
          <w:b/>
          <w:sz w:val="30"/>
          <w:szCs w:val="30"/>
        </w:rPr>
        <w:t xml:space="preserve">Численность КРС в сельскохозяйственных организациях Гродненской области с 2012 по 2018 годы, </w:t>
      </w:r>
      <w:proofErr w:type="spellStart"/>
      <w:r w:rsidRPr="00B201A8">
        <w:rPr>
          <w:rFonts w:ascii="Times New Roman" w:hAnsi="Times New Roman" w:cs="Times New Roman"/>
          <w:b/>
          <w:sz w:val="30"/>
          <w:szCs w:val="30"/>
        </w:rPr>
        <w:t>тыс</w:t>
      </w:r>
      <w:proofErr w:type="gramStart"/>
      <w:r w:rsidRPr="00B201A8">
        <w:rPr>
          <w:rFonts w:ascii="Times New Roman" w:hAnsi="Times New Roman" w:cs="Times New Roman"/>
          <w:b/>
          <w:sz w:val="30"/>
          <w:szCs w:val="30"/>
        </w:rPr>
        <w:t>.г</w:t>
      </w:r>
      <w:proofErr w:type="gramEnd"/>
      <w:r w:rsidRPr="00B201A8">
        <w:rPr>
          <w:rFonts w:ascii="Times New Roman" w:hAnsi="Times New Roman" w:cs="Times New Roman"/>
          <w:b/>
          <w:sz w:val="30"/>
          <w:szCs w:val="30"/>
        </w:rPr>
        <w:t>ол</w:t>
      </w:r>
      <w:proofErr w:type="spellEnd"/>
      <w:r w:rsidRPr="00B201A8">
        <w:rPr>
          <w:rFonts w:ascii="Times New Roman" w:hAnsi="Times New Roman" w:cs="Times New Roman"/>
          <w:b/>
          <w:sz w:val="30"/>
          <w:szCs w:val="30"/>
        </w:rPr>
        <w:t>. (на конец года)</w:t>
      </w:r>
      <w:r w:rsidR="00B201A8">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Наряду с модернизацией молочной отрасли, увеличением поголовья коров значительно улучшились условия содержания и кормления крупного рогатого скота на выращивании и откорме. В результате, среднесуточный привес КРС по итогам 2017 года составит около 650 грамм, в 2018 году планируется – 680 грамм.</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Гродненская область всегда отличалась высокой степенью интенсификации свиноводческой отрасли. Так, </w:t>
      </w:r>
      <w:proofErr w:type="gramStart"/>
      <w:r w:rsidRPr="00084E9E">
        <w:rPr>
          <w:rFonts w:ascii="Times New Roman" w:hAnsi="Times New Roman" w:cs="Times New Roman"/>
          <w:sz w:val="30"/>
          <w:szCs w:val="30"/>
        </w:rPr>
        <w:t>имея около 15 % общереспубликанской площади пашни в области производится 24,7 % свинины</w:t>
      </w:r>
      <w:proofErr w:type="gramEnd"/>
      <w:r w:rsidRPr="00084E9E">
        <w:rPr>
          <w:rFonts w:ascii="Times New Roman" w:hAnsi="Times New Roman" w:cs="Times New Roman"/>
          <w:sz w:val="30"/>
          <w:szCs w:val="30"/>
        </w:rPr>
        <w:t xml:space="preserve"> республиканского объема.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Ведется обновление производственных мощностей для производства мяса свиней. 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научно-технического прогресса и зарубежного опыта. В настоящее время выходят на проектные мощности племенная ферма на 250 основных свиноматок и репродуктор первого порядка на 950 свиноматок в КСУП «Черняховский-Агро» мощность. Проведена </w:t>
      </w:r>
      <w:r w:rsidRPr="00084E9E">
        <w:rPr>
          <w:rFonts w:ascii="Times New Roman" w:hAnsi="Times New Roman" w:cs="Times New Roman"/>
          <w:sz w:val="30"/>
          <w:szCs w:val="30"/>
        </w:rPr>
        <w:lastRenderedPageBreak/>
        <w:t xml:space="preserve">реконструкция свиноводческого комплекса по откорму свиней в СПК «Маяк-Заполье» </w:t>
      </w:r>
      <w:proofErr w:type="spellStart"/>
      <w:r w:rsidRPr="00084E9E">
        <w:rPr>
          <w:rFonts w:ascii="Times New Roman" w:hAnsi="Times New Roman" w:cs="Times New Roman"/>
          <w:sz w:val="30"/>
          <w:szCs w:val="30"/>
        </w:rPr>
        <w:t>Кореличского</w:t>
      </w:r>
      <w:proofErr w:type="spellEnd"/>
      <w:r w:rsidRPr="00084E9E">
        <w:rPr>
          <w:rFonts w:ascii="Times New Roman" w:hAnsi="Times New Roman" w:cs="Times New Roman"/>
          <w:sz w:val="30"/>
          <w:szCs w:val="30"/>
        </w:rPr>
        <w:t xml:space="preserve"> района мощностью на 27 тысяч голов откорма свиней в год. Построен современный свиноводческий комплекс в РСКУП «</w:t>
      </w:r>
      <w:proofErr w:type="spellStart"/>
      <w:r w:rsidRPr="00084E9E">
        <w:rPr>
          <w:rFonts w:ascii="Times New Roman" w:hAnsi="Times New Roman" w:cs="Times New Roman"/>
          <w:sz w:val="30"/>
          <w:szCs w:val="30"/>
        </w:rPr>
        <w:t>Волковысское</w:t>
      </w:r>
      <w:proofErr w:type="spellEnd"/>
      <w:r w:rsidRPr="00084E9E">
        <w:rPr>
          <w:rFonts w:ascii="Times New Roman" w:hAnsi="Times New Roman" w:cs="Times New Roman"/>
          <w:sz w:val="30"/>
          <w:szCs w:val="30"/>
        </w:rPr>
        <w:t>» Волковысского района на 24 тысяч откорма свиней в год. Данные свиноводческие комплексы построены в 2015 – 2016 годах. Введен первый пусковой комплекс свиноводческого объекта ИООО «</w:t>
      </w:r>
      <w:proofErr w:type="spellStart"/>
      <w:r w:rsidRPr="00084E9E">
        <w:rPr>
          <w:rFonts w:ascii="Times New Roman" w:hAnsi="Times New Roman" w:cs="Times New Roman"/>
          <w:sz w:val="30"/>
          <w:szCs w:val="30"/>
        </w:rPr>
        <w:t>Белдан</w:t>
      </w:r>
      <w:proofErr w:type="spellEnd"/>
      <w:r w:rsidRPr="00084E9E">
        <w:rPr>
          <w:rFonts w:ascii="Times New Roman" w:hAnsi="Times New Roman" w:cs="Times New Roman"/>
          <w:sz w:val="30"/>
          <w:szCs w:val="30"/>
        </w:rPr>
        <w:t>» Слонимского района в 2017 году, предприятие уже начало производство свинины.</w:t>
      </w:r>
    </w:p>
    <w:p w:rsidR="00DA6073" w:rsidRDefault="00DA6073" w:rsidP="004D7D4A">
      <w:pPr>
        <w:pStyle w:val="a3"/>
        <w:ind w:firstLine="708"/>
        <w:jc w:val="both"/>
        <w:rPr>
          <w:rFonts w:ascii="Times New Roman" w:hAnsi="Times New Roman" w:cs="Times New Roman"/>
          <w:sz w:val="30"/>
          <w:szCs w:val="30"/>
        </w:rPr>
      </w:pPr>
    </w:p>
    <w:p w:rsidR="00DA6073" w:rsidRPr="004D2864" w:rsidRDefault="00DA6073" w:rsidP="004D2864">
      <w:pPr>
        <w:pStyle w:val="a3"/>
        <w:jc w:val="both"/>
        <w:rPr>
          <w:rFonts w:ascii="Times New Roman" w:hAnsi="Times New Roman" w:cs="Times New Roman"/>
          <w:sz w:val="30"/>
          <w:szCs w:val="30"/>
        </w:rPr>
      </w:pPr>
      <w:r w:rsidRPr="00DA6073">
        <w:rPr>
          <w:rFonts w:ascii="Times New Roman" w:hAnsi="Times New Roman" w:cs="Times New Roman"/>
          <w:noProof/>
          <w:sz w:val="30"/>
          <w:szCs w:val="30"/>
          <w:lang w:eastAsia="ru-RU"/>
        </w:rPr>
        <w:drawing>
          <wp:inline distT="0" distB="0" distL="0" distR="0">
            <wp:extent cx="6151418" cy="1995055"/>
            <wp:effectExtent l="0" t="0" r="1905"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E9E" w:rsidRPr="006B5FC0" w:rsidRDefault="00084E9E" w:rsidP="004D7D4A">
      <w:pPr>
        <w:pStyle w:val="a3"/>
        <w:ind w:firstLine="708"/>
        <w:jc w:val="both"/>
        <w:rPr>
          <w:rFonts w:ascii="Times New Roman" w:hAnsi="Times New Roman" w:cs="Times New Roman"/>
          <w:b/>
          <w:sz w:val="30"/>
          <w:szCs w:val="30"/>
        </w:rPr>
      </w:pPr>
      <w:r w:rsidRPr="006B5FC0">
        <w:rPr>
          <w:rFonts w:ascii="Times New Roman" w:hAnsi="Times New Roman" w:cs="Times New Roman"/>
          <w:b/>
          <w:sz w:val="30"/>
          <w:szCs w:val="30"/>
        </w:rPr>
        <w:t xml:space="preserve">Численность свиней в сельскохозяйственных организациях Гродненской области с 2012 по 2017 годы, </w:t>
      </w:r>
      <w:proofErr w:type="spellStart"/>
      <w:r w:rsidRPr="006B5FC0">
        <w:rPr>
          <w:rFonts w:ascii="Times New Roman" w:hAnsi="Times New Roman" w:cs="Times New Roman"/>
          <w:b/>
          <w:sz w:val="30"/>
          <w:szCs w:val="30"/>
        </w:rPr>
        <w:t>тыс</w:t>
      </w:r>
      <w:proofErr w:type="gramStart"/>
      <w:r w:rsidRPr="006B5FC0">
        <w:rPr>
          <w:rFonts w:ascii="Times New Roman" w:hAnsi="Times New Roman" w:cs="Times New Roman"/>
          <w:b/>
          <w:sz w:val="30"/>
          <w:szCs w:val="30"/>
        </w:rPr>
        <w:t>.г</w:t>
      </w:r>
      <w:proofErr w:type="gramEnd"/>
      <w:r w:rsidRPr="006B5FC0">
        <w:rPr>
          <w:rFonts w:ascii="Times New Roman" w:hAnsi="Times New Roman" w:cs="Times New Roman"/>
          <w:b/>
          <w:sz w:val="30"/>
          <w:szCs w:val="30"/>
        </w:rPr>
        <w:t>ол</w:t>
      </w:r>
      <w:proofErr w:type="spellEnd"/>
      <w:r w:rsidRPr="006B5FC0">
        <w:rPr>
          <w:rFonts w:ascii="Times New Roman" w:hAnsi="Times New Roman" w:cs="Times New Roman"/>
          <w:b/>
          <w:sz w:val="30"/>
          <w:szCs w:val="30"/>
        </w:rPr>
        <w:t>.(на конец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 итогам 2017 года производство (выращивание) свиней ожидается 112,0 тысячи тонн, что на 7,1 % выше уровня 2016 года. За 2017 год среднесуточный привес свиней на выращивании и откорме составит около 615 граммов, что на 10 грамм выше уровня 2016 года.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Промышленное птицеводство области в настоящее время сосредоточено на 9 птицефабриках, из них 7 предприятий производят яйцо пищевое, а 2 птицефабрики – мясо птицы. Кроме того, выращивание цыплят-бройлеров ведется в  СПК «Прогресс-</w:t>
      </w:r>
      <w:proofErr w:type="spellStart"/>
      <w:r w:rsidRPr="00084E9E">
        <w:rPr>
          <w:rFonts w:ascii="Times New Roman" w:hAnsi="Times New Roman" w:cs="Times New Roman"/>
          <w:sz w:val="30"/>
          <w:szCs w:val="30"/>
        </w:rPr>
        <w:t>Вертелишки</w:t>
      </w:r>
      <w:proofErr w:type="spellEnd"/>
      <w:r w:rsidRPr="00084E9E">
        <w:rPr>
          <w:rFonts w:ascii="Times New Roman" w:hAnsi="Times New Roman" w:cs="Times New Roman"/>
          <w:sz w:val="30"/>
          <w:szCs w:val="30"/>
        </w:rPr>
        <w:t>» и СПК «Гродненский» Гродненского района, обособленном подразделении «</w:t>
      </w:r>
      <w:proofErr w:type="spellStart"/>
      <w:r w:rsidRPr="00084E9E">
        <w:rPr>
          <w:rFonts w:ascii="Times New Roman" w:hAnsi="Times New Roman" w:cs="Times New Roman"/>
          <w:sz w:val="30"/>
          <w:szCs w:val="30"/>
        </w:rPr>
        <w:t>Дитва</w:t>
      </w:r>
      <w:proofErr w:type="spellEnd"/>
      <w:r w:rsidRPr="00084E9E">
        <w:rPr>
          <w:rFonts w:ascii="Times New Roman" w:hAnsi="Times New Roman" w:cs="Times New Roman"/>
          <w:sz w:val="30"/>
          <w:szCs w:val="30"/>
        </w:rPr>
        <w:t>» ОАО «</w:t>
      </w:r>
      <w:proofErr w:type="spellStart"/>
      <w:r w:rsidRPr="00084E9E">
        <w:rPr>
          <w:rFonts w:ascii="Times New Roman" w:hAnsi="Times New Roman" w:cs="Times New Roman"/>
          <w:sz w:val="30"/>
          <w:szCs w:val="30"/>
        </w:rPr>
        <w:t>Лидахлебопродукт</w:t>
      </w:r>
      <w:proofErr w:type="spellEnd"/>
      <w:r w:rsidRPr="00084E9E">
        <w:rPr>
          <w:rFonts w:ascii="Times New Roman" w:hAnsi="Times New Roman" w:cs="Times New Roman"/>
          <w:sz w:val="30"/>
          <w:szCs w:val="30"/>
        </w:rPr>
        <w:t>», в незначительных объемах производством мяса птицы  занимаются частные фирмы: СООО «</w:t>
      </w:r>
      <w:proofErr w:type="spellStart"/>
      <w:r w:rsidRPr="00084E9E">
        <w:rPr>
          <w:rFonts w:ascii="Times New Roman" w:hAnsi="Times New Roman" w:cs="Times New Roman"/>
          <w:sz w:val="30"/>
          <w:szCs w:val="30"/>
        </w:rPr>
        <w:t>Коскро</w:t>
      </w:r>
      <w:proofErr w:type="spellEnd"/>
      <w:r w:rsidRPr="00084E9E">
        <w:rPr>
          <w:rFonts w:ascii="Times New Roman" w:hAnsi="Times New Roman" w:cs="Times New Roman"/>
          <w:sz w:val="30"/>
          <w:szCs w:val="30"/>
        </w:rPr>
        <w:t>» (утка) в Гродненском районе и ФХ «</w:t>
      </w:r>
      <w:proofErr w:type="spellStart"/>
      <w:r w:rsidRPr="00084E9E">
        <w:rPr>
          <w:rFonts w:ascii="Times New Roman" w:hAnsi="Times New Roman" w:cs="Times New Roman"/>
          <w:sz w:val="30"/>
          <w:szCs w:val="30"/>
        </w:rPr>
        <w:t>Островецкое</w:t>
      </w:r>
      <w:proofErr w:type="spellEnd"/>
      <w:r w:rsidRPr="00084E9E">
        <w:rPr>
          <w:rFonts w:ascii="Times New Roman" w:hAnsi="Times New Roman" w:cs="Times New Roman"/>
          <w:sz w:val="30"/>
          <w:szCs w:val="30"/>
        </w:rPr>
        <w:t xml:space="preserve">» (индейка) </w:t>
      </w:r>
      <w:proofErr w:type="spellStart"/>
      <w:r w:rsidRPr="00084E9E">
        <w:rPr>
          <w:rFonts w:ascii="Times New Roman" w:hAnsi="Times New Roman" w:cs="Times New Roman"/>
          <w:sz w:val="30"/>
          <w:szCs w:val="30"/>
        </w:rPr>
        <w:t>в</w:t>
      </w:r>
      <w:r>
        <w:rPr>
          <w:rFonts w:ascii="Times New Roman" w:hAnsi="Times New Roman" w:cs="Times New Roman"/>
          <w:sz w:val="30"/>
          <w:szCs w:val="30"/>
        </w:rPr>
        <w:t>Островецком</w:t>
      </w:r>
      <w:proofErr w:type="spellEnd"/>
      <w:r>
        <w:rPr>
          <w:rFonts w:ascii="Times New Roman" w:hAnsi="Times New Roman" w:cs="Times New Roman"/>
          <w:sz w:val="30"/>
          <w:szCs w:val="30"/>
        </w:rPr>
        <w:t xml:space="preserve"> районе.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На всех птицефабриках яичного и мясного направления проведена  полная реконструкция с техническим переоснащением. Так, в 2017 году введен в эксплуатацию современный убойный цех по убою цыплят бройлеров на </w:t>
      </w:r>
      <w:proofErr w:type="spellStart"/>
      <w:r w:rsidRPr="00084E9E">
        <w:rPr>
          <w:rFonts w:ascii="Times New Roman" w:hAnsi="Times New Roman" w:cs="Times New Roman"/>
          <w:sz w:val="30"/>
          <w:szCs w:val="30"/>
        </w:rPr>
        <w:t>Сморгонской</w:t>
      </w:r>
      <w:proofErr w:type="spellEnd"/>
      <w:r w:rsidRPr="00084E9E">
        <w:rPr>
          <w:rFonts w:ascii="Times New Roman" w:hAnsi="Times New Roman" w:cs="Times New Roman"/>
          <w:sz w:val="30"/>
          <w:szCs w:val="30"/>
        </w:rPr>
        <w:t xml:space="preserve"> птицефабрике мощностью 4 тысячи голов в час, что позволило увеличить экспортный потенциал. В 2016 году начато выращивание </w:t>
      </w:r>
      <w:proofErr w:type="spellStart"/>
      <w:r w:rsidRPr="00084E9E">
        <w:rPr>
          <w:rFonts w:ascii="Times New Roman" w:hAnsi="Times New Roman" w:cs="Times New Roman"/>
          <w:sz w:val="30"/>
          <w:szCs w:val="30"/>
        </w:rPr>
        <w:t>индеки</w:t>
      </w:r>
      <w:proofErr w:type="spellEnd"/>
      <w:r w:rsidRPr="00084E9E">
        <w:rPr>
          <w:rFonts w:ascii="Times New Roman" w:hAnsi="Times New Roman" w:cs="Times New Roman"/>
          <w:sz w:val="30"/>
          <w:szCs w:val="30"/>
        </w:rPr>
        <w:t xml:space="preserve">  в ИООО "</w:t>
      </w:r>
      <w:proofErr w:type="spellStart"/>
      <w:r w:rsidRPr="00084E9E">
        <w:rPr>
          <w:rFonts w:ascii="Times New Roman" w:hAnsi="Times New Roman" w:cs="Times New Roman"/>
          <w:sz w:val="30"/>
          <w:szCs w:val="30"/>
        </w:rPr>
        <w:t>Арвибелагро</w:t>
      </w:r>
      <w:proofErr w:type="spellEnd"/>
      <w:r w:rsidRPr="00084E9E">
        <w:rPr>
          <w:rFonts w:ascii="Times New Roman" w:hAnsi="Times New Roman" w:cs="Times New Roman"/>
          <w:sz w:val="30"/>
          <w:szCs w:val="30"/>
        </w:rPr>
        <w:t>" Лидского района мощностью 6 тысяч тонн мяса индейки в год с промышленной переработкой. Выходит на проектную мощность 180 млн. яиц в год  птицефабрик</w:t>
      </w:r>
      <w:proofErr w:type="gramStart"/>
      <w:r w:rsidRPr="00084E9E">
        <w:rPr>
          <w:rFonts w:ascii="Times New Roman" w:hAnsi="Times New Roman" w:cs="Times New Roman"/>
          <w:sz w:val="30"/>
          <w:szCs w:val="30"/>
        </w:rPr>
        <w:t>а ООО</w:t>
      </w:r>
      <w:proofErr w:type="gramEnd"/>
      <w:r w:rsidRPr="00084E9E">
        <w:rPr>
          <w:rFonts w:ascii="Times New Roman" w:hAnsi="Times New Roman" w:cs="Times New Roman"/>
          <w:sz w:val="30"/>
          <w:szCs w:val="30"/>
        </w:rPr>
        <w:t xml:space="preserve"> «</w:t>
      </w:r>
      <w:proofErr w:type="spellStart"/>
      <w:r w:rsidRPr="00084E9E">
        <w:rPr>
          <w:rFonts w:ascii="Times New Roman" w:hAnsi="Times New Roman" w:cs="Times New Roman"/>
          <w:sz w:val="30"/>
          <w:szCs w:val="30"/>
        </w:rPr>
        <w:t>БелЯрШпехт</w:t>
      </w:r>
      <w:proofErr w:type="spellEnd"/>
      <w:r w:rsidRPr="00084E9E">
        <w:rPr>
          <w:rFonts w:ascii="Times New Roman" w:hAnsi="Times New Roman" w:cs="Times New Roman"/>
          <w:sz w:val="30"/>
          <w:szCs w:val="30"/>
        </w:rPr>
        <w:t>» Гродненского района. В 2014 году Щучинском районе на базе ОАО «</w:t>
      </w:r>
      <w:proofErr w:type="spellStart"/>
      <w:r w:rsidRPr="00084E9E">
        <w:rPr>
          <w:rFonts w:ascii="Times New Roman" w:hAnsi="Times New Roman" w:cs="Times New Roman"/>
          <w:sz w:val="30"/>
          <w:szCs w:val="30"/>
        </w:rPr>
        <w:t>Щучинская</w:t>
      </w:r>
      <w:proofErr w:type="spellEnd"/>
      <w:r w:rsidRPr="00084E9E">
        <w:rPr>
          <w:rFonts w:ascii="Times New Roman" w:hAnsi="Times New Roman" w:cs="Times New Roman"/>
          <w:sz w:val="30"/>
          <w:szCs w:val="30"/>
        </w:rPr>
        <w:t xml:space="preserve"> птицефабрика» введен в эксплуатацию современный репродуктор второго порядка по выращиванию и реализации суточных цыплят яичных кроссов мощностью 3 млн. цыплят в год. Начато реализация </w:t>
      </w:r>
      <w:r w:rsidRPr="00084E9E">
        <w:rPr>
          <w:rFonts w:ascii="Times New Roman" w:hAnsi="Times New Roman" w:cs="Times New Roman"/>
          <w:sz w:val="30"/>
          <w:szCs w:val="30"/>
        </w:rPr>
        <w:lastRenderedPageBreak/>
        <w:t>инвестиционного проект</w:t>
      </w:r>
      <w:proofErr w:type="gramStart"/>
      <w:r w:rsidRPr="00084E9E">
        <w:rPr>
          <w:rFonts w:ascii="Times New Roman" w:hAnsi="Times New Roman" w:cs="Times New Roman"/>
          <w:sz w:val="30"/>
          <w:szCs w:val="30"/>
        </w:rPr>
        <w:t>а ООО</w:t>
      </w:r>
      <w:proofErr w:type="gramEnd"/>
      <w:r w:rsidRPr="00084E9E">
        <w:rPr>
          <w:rFonts w:ascii="Times New Roman" w:hAnsi="Times New Roman" w:cs="Times New Roman"/>
          <w:sz w:val="30"/>
          <w:szCs w:val="30"/>
        </w:rPr>
        <w:t xml:space="preserve"> «</w:t>
      </w:r>
      <w:proofErr w:type="spellStart"/>
      <w:r w:rsidRPr="00084E9E">
        <w:rPr>
          <w:rFonts w:ascii="Times New Roman" w:hAnsi="Times New Roman" w:cs="Times New Roman"/>
          <w:sz w:val="30"/>
          <w:szCs w:val="30"/>
        </w:rPr>
        <w:t>Беллидкорм</w:t>
      </w:r>
      <w:proofErr w:type="spellEnd"/>
      <w:r w:rsidRPr="00084E9E">
        <w:rPr>
          <w:rFonts w:ascii="Times New Roman" w:hAnsi="Times New Roman" w:cs="Times New Roman"/>
          <w:sz w:val="30"/>
          <w:szCs w:val="30"/>
        </w:rPr>
        <w:t>» по производству и выращивания мяса индейки объемом 6 тысяч тонн в год индейки в Лидском районе.</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Проводимые мероприятия позволят в 2018 году произвести мяса птицы в объеме 70 тысяч тонн и 338 млн. штук яиц, средняя яйценоскость кур-несушек планируется на уровне 290 штук.</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Также реализован инвестиционный проект «Техническое перевооружение, реконструкция и увеличение мощностей предприятия по утилизации отходов животного происхождения на базе ОАО «Лидского </w:t>
      </w:r>
      <w:proofErr w:type="gramStart"/>
      <w:r w:rsidRPr="00084E9E">
        <w:rPr>
          <w:rFonts w:ascii="Times New Roman" w:hAnsi="Times New Roman" w:cs="Times New Roman"/>
          <w:sz w:val="30"/>
          <w:szCs w:val="30"/>
        </w:rPr>
        <w:t>ветеринарного-санитарного</w:t>
      </w:r>
      <w:proofErr w:type="gramEnd"/>
      <w:r w:rsidRPr="00084E9E">
        <w:rPr>
          <w:rFonts w:ascii="Times New Roman" w:hAnsi="Times New Roman" w:cs="Times New Roman"/>
          <w:sz w:val="30"/>
          <w:szCs w:val="30"/>
        </w:rPr>
        <w:t xml:space="preserve"> утилизационного завода» - ИООО «</w:t>
      </w:r>
      <w:proofErr w:type="spellStart"/>
      <w:r w:rsidRPr="00084E9E">
        <w:rPr>
          <w:rFonts w:ascii="Times New Roman" w:hAnsi="Times New Roman" w:cs="Times New Roman"/>
          <w:sz w:val="30"/>
          <w:szCs w:val="30"/>
        </w:rPr>
        <w:t>Биоваст</w:t>
      </w:r>
      <w:proofErr w:type="spellEnd"/>
      <w:r w:rsidRPr="00084E9E">
        <w:rPr>
          <w:rFonts w:ascii="Times New Roman" w:hAnsi="Times New Roman" w:cs="Times New Roman"/>
          <w:sz w:val="30"/>
          <w:szCs w:val="30"/>
        </w:rPr>
        <w:t xml:space="preserve"> Лида». </w:t>
      </w:r>
    </w:p>
    <w:p w:rsidR="0047568F" w:rsidRDefault="00084E9E" w:rsidP="0038417D">
      <w:pPr>
        <w:pStyle w:val="a3"/>
        <w:ind w:firstLine="708"/>
        <w:jc w:val="both"/>
      </w:pPr>
      <w:r w:rsidRPr="00084E9E">
        <w:rPr>
          <w:rFonts w:ascii="Times New Roman" w:hAnsi="Times New Roman" w:cs="Times New Roman"/>
          <w:sz w:val="30"/>
          <w:szCs w:val="30"/>
        </w:rPr>
        <w:t>Таким образом, основными целями сельскохозяйственного производства являются повышение его эффективности и сбыта сельскохозяйственной продукции, а также повышение конкурентоспособности продукции, обеспечение внутреннего рынка страны отечественной сельскохозяйственной продукцией и продовольствием в необходимых объемах и надлежащего качества</w:t>
      </w:r>
      <w:r w:rsidRPr="00084E9E">
        <w:t>.</w:t>
      </w:r>
    </w:p>
    <w:p w:rsidR="00787AAC" w:rsidRDefault="00787AAC" w:rsidP="0038417D">
      <w:pPr>
        <w:pStyle w:val="a3"/>
        <w:ind w:firstLine="708"/>
        <w:jc w:val="both"/>
      </w:pP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В </w:t>
      </w:r>
      <w:proofErr w:type="spellStart"/>
      <w:r w:rsidRPr="00DD7551">
        <w:rPr>
          <w:rFonts w:ascii="Times New Roman" w:hAnsi="Times New Roman" w:cs="Times New Roman"/>
          <w:b/>
          <w:i/>
          <w:sz w:val="28"/>
          <w:szCs w:val="28"/>
        </w:rPr>
        <w:t>Зельвенском</w:t>
      </w:r>
      <w:proofErr w:type="spellEnd"/>
      <w:r w:rsidRPr="00DD7551">
        <w:rPr>
          <w:rFonts w:ascii="Times New Roman" w:hAnsi="Times New Roman" w:cs="Times New Roman"/>
          <w:b/>
          <w:i/>
          <w:sz w:val="28"/>
          <w:szCs w:val="28"/>
        </w:rPr>
        <w:t xml:space="preserve"> районе по состоянию на 1 января 2018 года  производителями  сельскохозяйственной продукции  являются 8 сельскохозяйственных организаций и  8 крестьянских (фермерских) хозяйств. </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Производство сельскохозяйственной продукции за период с 2012 по 2017 годы  в сельскохозяйственных организациях  увеличилось на 17,6 %. В 2017 году в сельскохозяйственных организациях увеличился на  13,8 % к уровню 2016 года. </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Объем производства растениеводческой продукции за 2017 год к предыдущему периоду увеличился на 32,3 %. В растениеводстве получен неплохой урожай зерна, общий намолот составил 78,2 тыс. тонн зерна в амбарном весе (121,6 % к 2016 году) при средней урожайности 46,1 центнера с гектара (плюс 4,5 ц/га). </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В последние годы животноводческая отрасль </w:t>
      </w:r>
      <w:proofErr w:type="spellStart"/>
      <w:r w:rsidRPr="00DD7551">
        <w:rPr>
          <w:rFonts w:ascii="Times New Roman" w:hAnsi="Times New Roman" w:cs="Times New Roman"/>
          <w:b/>
          <w:i/>
          <w:sz w:val="28"/>
          <w:szCs w:val="28"/>
        </w:rPr>
        <w:t>Зельвенского</w:t>
      </w:r>
      <w:proofErr w:type="spellEnd"/>
      <w:r w:rsidRPr="00DD7551">
        <w:rPr>
          <w:rFonts w:ascii="Times New Roman" w:hAnsi="Times New Roman" w:cs="Times New Roman"/>
          <w:b/>
          <w:i/>
          <w:sz w:val="28"/>
          <w:szCs w:val="28"/>
        </w:rPr>
        <w:t xml:space="preserve"> района значительно модернизировалась и, в особенности молочная отрасль. Так, в период с 2009 по 2017 годы в районе построено 4 современных </w:t>
      </w:r>
      <w:proofErr w:type="spellStart"/>
      <w:r w:rsidRPr="00DD7551">
        <w:rPr>
          <w:rFonts w:ascii="Times New Roman" w:hAnsi="Times New Roman" w:cs="Times New Roman"/>
          <w:b/>
          <w:i/>
          <w:sz w:val="28"/>
          <w:szCs w:val="28"/>
        </w:rPr>
        <w:t>молочнотоварных</w:t>
      </w:r>
      <w:proofErr w:type="spellEnd"/>
      <w:r w:rsidRPr="00DD7551">
        <w:rPr>
          <w:rFonts w:ascii="Times New Roman" w:hAnsi="Times New Roman" w:cs="Times New Roman"/>
          <w:b/>
          <w:i/>
          <w:sz w:val="28"/>
          <w:szCs w:val="28"/>
        </w:rPr>
        <w:t xml:space="preserve"> комплекса мощностью 700 и более коров, проведена реконструкция 6 </w:t>
      </w:r>
      <w:proofErr w:type="spellStart"/>
      <w:r w:rsidRPr="00DD7551">
        <w:rPr>
          <w:rFonts w:ascii="Times New Roman" w:hAnsi="Times New Roman" w:cs="Times New Roman"/>
          <w:b/>
          <w:i/>
          <w:sz w:val="28"/>
          <w:szCs w:val="28"/>
        </w:rPr>
        <w:t>молочнотоварных</w:t>
      </w:r>
      <w:proofErr w:type="spellEnd"/>
      <w:r w:rsidRPr="00DD7551">
        <w:rPr>
          <w:rFonts w:ascii="Times New Roman" w:hAnsi="Times New Roman" w:cs="Times New Roman"/>
          <w:b/>
          <w:i/>
          <w:sz w:val="28"/>
          <w:szCs w:val="28"/>
        </w:rPr>
        <w:t xml:space="preserve"> ферм под беспривязное содержание с установкой доильных залов и однотипным кормлением. </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Производство молока с 2012 года выросло на 30,1 % и в 2017 году составило 5,3 тысячи тонн. За этот период численность коров увеличилось на 863 головы, или на 8,1%, при этом продуктивность дойного стада стала выше на  629 кг, и составила по итогам 2017 года 4981 килограммов. </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Поголовье крупного рогатого скота в районе на 1 января 2017 года составило 37,7 тыс. голов, в том числе 11,5 тыс. коров. </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Среднесуточный привес КРС по итогам 2017 года составил 700 грамм.</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Поголовье свиней на 1 января 2017 года составило 36 тыс. голов. </w:t>
      </w:r>
    </w:p>
    <w:p w:rsidR="00787AAC" w:rsidRPr="00DD7551" w:rsidRDefault="00787AAC" w:rsidP="00787AAC">
      <w:pPr>
        <w:pStyle w:val="a3"/>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Среднесуточный привес свиней по итогам 2017 года составил 564 грамма, или увеличился на 27 грамм к предыдущему периоду, в 2018 году планируется – 599 грамм.</w:t>
      </w:r>
    </w:p>
    <w:p w:rsidR="0038417D" w:rsidRDefault="0038417D" w:rsidP="00787AAC">
      <w:pPr>
        <w:pStyle w:val="a3"/>
        <w:rPr>
          <w:rFonts w:ascii="Times New Roman" w:hAnsi="Times New Roman" w:cs="Times New Roman"/>
          <w:b/>
          <w:sz w:val="30"/>
          <w:szCs w:val="30"/>
        </w:rPr>
      </w:pPr>
    </w:p>
    <w:p w:rsidR="0047568F" w:rsidRDefault="0047568F" w:rsidP="006B5FC0">
      <w:pPr>
        <w:pStyle w:val="a3"/>
        <w:jc w:val="center"/>
        <w:rPr>
          <w:rFonts w:ascii="Times New Roman" w:hAnsi="Times New Roman" w:cs="Times New Roman"/>
          <w:b/>
          <w:sz w:val="30"/>
          <w:szCs w:val="30"/>
        </w:rPr>
      </w:pPr>
      <w:r w:rsidRPr="0047568F">
        <w:rPr>
          <w:rFonts w:ascii="Times New Roman" w:hAnsi="Times New Roman" w:cs="Times New Roman"/>
          <w:b/>
          <w:sz w:val="30"/>
          <w:szCs w:val="30"/>
        </w:rPr>
        <w:t>Торговля, общественное питание и</w:t>
      </w:r>
      <w:r w:rsidR="0038417D">
        <w:rPr>
          <w:rFonts w:ascii="Times New Roman" w:hAnsi="Times New Roman" w:cs="Times New Roman"/>
          <w:b/>
          <w:sz w:val="30"/>
          <w:szCs w:val="30"/>
        </w:rPr>
        <w:t xml:space="preserve"> </w:t>
      </w:r>
      <w:r w:rsidRPr="0047568F">
        <w:rPr>
          <w:rFonts w:ascii="Times New Roman" w:hAnsi="Times New Roman" w:cs="Times New Roman"/>
          <w:b/>
          <w:sz w:val="30"/>
          <w:szCs w:val="30"/>
        </w:rPr>
        <w:t>бытовое обслуживание</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торговли через все каналы реализации за период с 2012 по 2016 вырос более чем на 70%. За январь-ноябрь 2017 года темп роста товарооборота составил 103,1% в сопоставимых ценах к аналогичному периоду прошлого года. Кроме того, объем товарооборота на душу населения на протяжении ряда лет сохраняется одним из самых высоких среди областей.</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общественного питания области за период с 2012 по 2016 вырос более чем на 60%. За январь-ноябрь 2017 года темп роста составил 103,3%.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сегодняшний день обеспеченность населения области торговой площадью по данным Торгового реестра Республики Беларусь составляет </w:t>
      </w:r>
      <w:smartTag w:uri="urn:schemas-microsoft-com:office:smarttags" w:element="metricconverter">
        <w:smartTagPr>
          <w:attr w:name="ProductID" w:val="611,5 кв. м"/>
        </w:smartTagPr>
        <w:r w:rsidRPr="0047568F">
          <w:rPr>
            <w:rFonts w:ascii="Times New Roman" w:hAnsi="Times New Roman" w:cs="Times New Roman"/>
            <w:sz w:val="30"/>
            <w:szCs w:val="30"/>
          </w:rPr>
          <w:t>611,5 кв. м</w:t>
        </w:r>
      </w:smartTag>
      <w:r w:rsidRPr="0047568F">
        <w:rPr>
          <w:rFonts w:ascii="Times New Roman" w:hAnsi="Times New Roman" w:cs="Times New Roman"/>
          <w:sz w:val="30"/>
          <w:szCs w:val="30"/>
        </w:rPr>
        <w:t xml:space="preserve"> на 1 тысячу жителей. За 2012-2017 годы обеспеченность увеличилась на </w:t>
      </w:r>
      <w:smartTag w:uri="urn:schemas-microsoft-com:office:smarttags" w:element="metricconverter">
        <w:smartTagPr>
          <w:attr w:name="ProductID" w:val="207,5 кв. м"/>
        </w:smartTagPr>
        <w:r w:rsidRPr="0047568F">
          <w:rPr>
            <w:rFonts w:ascii="Times New Roman" w:hAnsi="Times New Roman" w:cs="Times New Roman"/>
            <w:sz w:val="30"/>
            <w:szCs w:val="30"/>
          </w:rPr>
          <w:t>207,5 кв. м</w:t>
        </w:r>
      </w:smartTag>
      <w:r w:rsidRPr="0047568F">
        <w:rPr>
          <w:rFonts w:ascii="Times New Roman" w:hAnsi="Times New Roman" w:cs="Times New Roman"/>
          <w:sz w:val="30"/>
          <w:szCs w:val="30"/>
        </w:rPr>
        <w:t>. Обеспеченность населения местами в общедоступных объектах общественного питания составляет 37 мест на 1 тысячу жителей. За 2012-2017 годы обеспеченность увеличилась на 3,7 места.</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торговое обслуживание населения Гродненской области по данным Торгового реестра осуществляют 5543 магазина (торговая площадь 572,0 тыс. кв. м.), 1962 павильона (торговая площадь 47,0 тыс. кв. м.), 741 киоск, 1918 неизолированных торговых объектов, 60 торговых центров с площадью, отведенной под торговые объекты 110,9 тыс. кв. м, 48 рынков с 11429 торговыми местами. Услуги общественного питания предоставляются в 1284 объектах общественного питания на 84,2 </w:t>
      </w:r>
      <w:proofErr w:type="spellStart"/>
      <w:r w:rsidRPr="0047568F">
        <w:rPr>
          <w:rFonts w:ascii="Times New Roman" w:hAnsi="Times New Roman" w:cs="Times New Roman"/>
          <w:sz w:val="30"/>
          <w:szCs w:val="30"/>
        </w:rPr>
        <w:t>тыс.мест</w:t>
      </w:r>
      <w:proofErr w:type="spellEnd"/>
      <w:r w:rsidRPr="0047568F">
        <w:rPr>
          <w:rFonts w:ascii="Times New Roman" w:hAnsi="Times New Roman" w:cs="Times New Roman"/>
          <w:sz w:val="30"/>
          <w:szCs w:val="30"/>
        </w:rPr>
        <w:t xml:space="preserve">, из них в 748 общедоступных на 38,8 </w:t>
      </w:r>
      <w:proofErr w:type="spellStart"/>
      <w:r w:rsidRPr="0047568F">
        <w:rPr>
          <w:rFonts w:ascii="Times New Roman" w:hAnsi="Times New Roman" w:cs="Times New Roman"/>
          <w:sz w:val="30"/>
          <w:szCs w:val="30"/>
        </w:rPr>
        <w:t>тыс.мест</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области функционирует 128 торговых объектов 13 сетевых структур по продаже продовольственных товаров, 241 торговый объект 39 сетевых структур по продаже непродовольственных товаров (кроме системы </w:t>
      </w:r>
      <w:proofErr w:type="spellStart"/>
      <w:r w:rsidRPr="0047568F">
        <w:rPr>
          <w:rFonts w:ascii="Times New Roman" w:hAnsi="Times New Roman" w:cs="Times New Roman"/>
          <w:sz w:val="30"/>
          <w:szCs w:val="30"/>
        </w:rPr>
        <w:t>Белкоопсоюза</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городе Гродно имеется 5 крупных торговых объектов (торговая площадь свыше 3 </w:t>
      </w:r>
      <w:proofErr w:type="spellStart"/>
      <w:r w:rsidRPr="0047568F">
        <w:rPr>
          <w:rFonts w:ascii="Times New Roman" w:hAnsi="Times New Roman" w:cs="Times New Roman"/>
          <w:sz w:val="30"/>
          <w:szCs w:val="30"/>
        </w:rPr>
        <w:t>тыс.кв.м</w:t>
      </w:r>
      <w:proofErr w:type="spellEnd"/>
      <w:r w:rsidRPr="0047568F">
        <w:rPr>
          <w:rFonts w:ascii="Times New Roman" w:hAnsi="Times New Roman" w:cs="Times New Roman"/>
          <w:sz w:val="30"/>
          <w:szCs w:val="30"/>
        </w:rPr>
        <w:t>.) – «</w:t>
      </w:r>
      <w:proofErr w:type="spellStart"/>
      <w:r w:rsidRPr="0047568F">
        <w:rPr>
          <w:rFonts w:ascii="Times New Roman" w:hAnsi="Times New Roman" w:cs="Times New Roman"/>
          <w:sz w:val="30"/>
          <w:szCs w:val="30"/>
        </w:rPr>
        <w:t>Алми</w:t>
      </w:r>
      <w:proofErr w:type="spellEnd"/>
      <w:r w:rsidRPr="0047568F">
        <w:rPr>
          <w:rFonts w:ascii="Times New Roman" w:hAnsi="Times New Roman" w:cs="Times New Roman"/>
          <w:sz w:val="30"/>
          <w:szCs w:val="30"/>
        </w:rPr>
        <w:t xml:space="preserve">» (пр. Космонавтов, 81), «Корона» (пр. </w:t>
      </w:r>
      <w:proofErr w:type="spellStart"/>
      <w:r w:rsidRPr="0047568F">
        <w:rPr>
          <w:rFonts w:ascii="Times New Roman" w:hAnsi="Times New Roman" w:cs="Times New Roman"/>
          <w:sz w:val="30"/>
          <w:szCs w:val="30"/>
        </w:rPr>
        <w:t>Я.Купалы</w:t>
      </w:r>
      <w:proofErr w:type="spellEnd"/>
      <w:r w:rsidRPr="0047568F">
        <w:rPr>
          <w:rFonts w:ascii="Times New Roman" w:hAnsi="Times New Roman" w:cs="Times New Roman"/>
          <w:sz w:val="30"/>
          <w:szCs w:val="30"/>
        </w:rPr>
        <w:t>, 16), «ОМА» (ул. Горького, 91), «</w:t>
      </w:r>
      <w:proofErr w:type="spellStart"/>
      <w:r w:rsidRPr="0047568F">
        <w:rPr>
          <w:rFonts w:ascii="Times New Roman" w:hAnsi="Times New Roman" w:cs="Times New Roman"/>
          <w:sz w:val="30"/>
          <w:szCs w:val="30"/>
        </w:rPr>
        <w:t>Евроопт</w:t>
      </w:r>
      <w:proofErr w:type="spellEnd"/>
      <w:r w:rsidRPr="0047568F">
        <w:rPr>
          <w:rFonts w:ascii="Times New Roman" w:hAnsi="Times New Roman" w:cs="Times New Roman"/>
          <w:sz w:val="30"/>
          <w:szCs w:val="30"/>
        </w:rPr>
        <w:t xml:space="preserve">» (ул. </w:t>
      </w:r>
      <w:proofErr w:type="spellStart"/>
      <w:r w:rsidRPr="0047568F">
        <w:rPr>
          <w:rFonts w:ascii="Times New Roman" w:hAnsi="Times New Roman" w:cs="Times New Roman"/>
          <w:sz w:val="30"/>
          <w:szCs w:val="30"/>
        </w:rPr>
        <w:t>Дубко</w:t>
      </w:r>
      <w:proofErr w:type="spellEnd"/>
      <w:r w:rsidRPr="0047568F">
        <w:rPr>
          <w:rFonts w:ascii="Times New Roman" w:hAnsi="Times New Roman" w:cs="Times New Roman"/>
          <w:sz w:val="30"/>
          <w:szCs w:val="30"/>
        </w:rPr>
        <w:t xml:space="preserve">, 17), «Материк» (ул. </w:t>
      </w:r>
      <w:proofErr w:type="spellStart"/>
      <w:r w:rsidRPr="0047568F">
        <w:rPr>
          <w:rFonts w:ascii="Times New Roman" w:hAnsi="Times New Roman" w:cs="Times New Roman"/>
          <w:sz w:val="30"/>
          <w:szCs w:val="30"/>
        </w:rPr>
        <w:t>Белуша</w:t>
      </w:r>
      <w:proofErr w:type="spellEnd"/>
      <w:r w:rsidRPr="0047568F">
        <w:rPr>
          <w:rFonts w:ascii="Times New Roman" w:hAnsi="Times New Roman" w:cs="Times New Roman"/>
          <w:sz w:val="30"/>
          <w:szCs w:val="30"/>
        </w:rPr>
        <w:t xml:space="preserve">, 56). 4 из них начали функционировать в период 2014-2017 годов. Ведется строительство многофункционального торгового - развлекательного центра ООО «Тринити Инвест» в районе пересечения </w:t>
      </w:r>
      <w:proofErr w:type="spellStart"/>
      <w:r w:rsidRPr="0047568F">
        <w:rPr>
          <w:rFonts w:ascii="Times New Roman" w:hAnsi="Times New Roman" w:cs="Times New Roman"/>
          <w:sz w:val="30"/>
          <w:szCs w:val="30"/>
        </w:rPr>
        <w:t>пр</w:t>
      </w:r>
      <w:proofErr w:type="spellEnd"/>
      <w:r w:rsidRPr="0047568F">
        <w:rPr>
          <w:rFonts w:ascii="Times New Roman" w:hAnsi="Times New Roman" w:cs="Times New Roman"/>
          <w:sz w:val="30"/>
          <w:szCs w:val="30"/>
        </w:rPr>
        <w:t xml:space="preserve">-та </w:t>
      </w:r>
      <w:proofErr w:type="spellStart"/>
      <w:r w:rsidRPr="0047568F">
        <w:rPr>
          <w:rFonts w:ascii="Times New Roman" w:hAnsi="Times New Roman" w:cs="Times New Roman"/>
          <w:sz w:val="30"/>
          <w:szCs w:val="30"/>
        </w:rPr>
        <w:t>Я.Купалы</w:t>
      </w:r>
      <w:proofErr w:type="spellEnd"/>
      <w:r w:rsidRPr="0047568F">
        <w:rPr>
          <w:rFonts w:ascii="Times New Roman" w:hAnsi="Times New Roman" w:cs="Times New Roman"/>
          <w:sz w:val="30"/>
          <w:szCs w:val="30"/>
        </w:rPr>
        <w:t xml:space="preserve"> и </w:t>
      </w:r>
      <w:proofErr w:type="spellStart"/>
      <w:r w:rsidRPr="0047568F">
        <w:rPr>
          <w:rFonts w:ascii="Times New Roman" w:hAnsi="Times New Roman" w:cs="Times New Roman"/>
          <w:sz w:val="30"/>
          <w:szCs w:val="30"/>
        </w:rPr>
        <w:t>пр</w:t>
      </w:r>
      <w:proofErr w:type="spellEnd"/>
      <w:r w:rsidRPr="0047568F">
        <w:rPr>
          <w:rFonts w:ascii="Times New Roman" w:hAnsi="Times New Roman" w:cs="Times New Roman"/>
          <w:sz w:val="30"/>
          <w:szCs w:val="30"/>
        </w:rPr>
        <w:t xml:space="preserve">-та </w:t>
      </w:r>
      <w:proofErr w:type="spellStart"/>
      <w:r w:rsidRPr="0047568F">
        <w:rPr>
          <w:rFonts w:ascii="Times New Roman" w:hAnsi="Times New Roman" w:cs="Times New Roman"/>
          <w:sz w:val="30"/>
          <w:szCs w:val="30"/>
        </w:rPr>
        <w:t>Клецкова</w:t>
      </w:r>
      <w:proofErr w:type="spellEnd"/>
      <w:r w:rsidRPr="0047568F">
        <w:rPr>
          <w:rFonts w:ascii="Times New Roman" w:hAnsi="Times New Roman" w:cs="Times New Roman"/>
          <w:sz w:val="30"/>
          <w:szCs w:val="30"/>
        </w:rPr>
        <w:t>.</w:t>
      </w:r>
    </w:p>
    <w:p w:rsidR="0047568F" w:rsidRPr="0047568F" w:rsidRDefault="0047568F" w:rsidP="004D7D4A">
      <w:pPr>
        <w:pStyle w:val="a3"/>
        <w:ind w:firstLine="708"/>
        <w:jc w:val="both"/>
        <w:rPr>
          <w:rFonts w:ascii="Times New Roman" w:hAnsi="Times New Roman" w:cs="Times New Roman"/>
          <w:i/>
          <w:sz w:val="30"/>
          <w:szCs w:val="30"/>
        </w:rPr>
      </w:pPr>
      <w:proofErr w:type="spellStart"/>
      <w:r>
        <w:rPr>
          <w:rFonts w:ascii="Times New Roman" w:hAnsi="Times New Roman" w:cs="Times New Roman"/>
          <w:i/>
          <w:sz w:val="30"/>
          <w:szCs w:val="30"/>
        </w:rPr>
        <w:t>Справочно:</w:t>
      </w:r>
      <w:r w:rsidRPr="0047568F">
        <w:rPr>
          <w:rFonts w:ascii="Times New Roman" w:hAnsi="Times New Roman" w:cs="Times New Roman"/>
          <w:i/>
          <w:sz w:val="30"/>
          <w:szCs w:val="30"/>
        </w:rPr>
        <w:t>Его</w:t>
      </w:r>
      <w:proofErr w:type="spellEnd"/>
      <w:r w:rsidRPr="0047568F">
        <w:rPr>
          <w:rFonts w:ascii="Times New Roman" w:hAnsi="Times New Roman" w:cs="Times New Roman"/>
          <w:i/>
          <w:sz w:val="30"/>
          <w:szCs w:val="30"/>
        </w:rPr>
        <w:t xml:space="preserve"> открытие обеспечит порядка 39,0 тыс. кв. м прироста торговой площади и около 1700 мест в общедоступных  объектах общественного питания.</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Приоритетным направлением развития потребительского рынка является стабильное обеспечение спроса населения в товарах и услугах, преимущественно отечественных производителей.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В розничной торговой сети обеспечивается бесперебойное наличие широкого ассортимента потребительских товаров.</w:t>
      </w:r>
    </w:p>
    <w:p w:rsidR="0047568F" w:rsidRDefault="0047568F" w:rsidP="004D7D4A">
      <w:pPr>
        <w:pStyle w:val="a3"/>
        <w:ind w:firstLine="708"/>
        <w:jc w:val="both"/>
        <w:rPr>
          <w:rFonts w:ascii="Times New Roman" w:hAnsi="Times New Roman" w:cs="Times New Roman"/>
          <w:sz w:val="30"/>
          <w:szCs w:val="30"/>
        </w:rPr>
      </w:pPr>
      <w:proofErr w:type="gramStart"/>
      <w:r w:rsidRPr="0047568F">
        <w:rPr>
          <w:rFonts w:ascii="Times New Roman" w:hAnsi="Times New Roman" w:cs="Times New Roman"/>
          <w:sz w:val="30"/>
          <w:szCs w:val="30"/>
        </w:rPr>
        <w:lastRenderedPageBreak/>
        <w:t>Более чем на 90% спрос населения удовлетворяется за счет товаров белорусских производителей: по мясу, продуктам из мяса, консервам мясным, маслу сливочному, сырам, муке, сахару, табачным изделиям, винам игристым, включая шампанское, картофелю, свекле, огурцам и другим товарам.</w:t>
      </w:r>
      <w:proofErr w:type="gramEnd"/>
    </w:p>
    <w:p w:rsidR="00787AAC" w:rsidRPr="00787AAC" w:rsidRDefault="00787AAC" w:rsidP="00787AAC">
      <w:pPr>
        <w:spacing w:after="0" w:line="240" w:lineRule="auto"/>
        <w:ind w:left="-284" w:firstLine="720"/>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Объем товарооборота торговли по району за период с 2012 по 2017 вырос на 22,0%. Обеспеченность населения торговой площадью на 1 января  2018 г. составила 625,8 </w:t>
      </w:r>
      <w:proofErr w:type="spellStart"/>
      <w:r w:rsidRPr="00DD7551">
        <w:rPr>
          <w:rFonts w:ascii="Times New Roman" w:hAnsi="Times New Roman" w:cs="Times New Roman"/>
          <w:b/>
          <w:i/>
          <w:sz w:val="28"/>
          <w:szCs w:val="28"/>
        </w:rPr>
        <w:t>кв</w:t>
      </w:r>
      <w:proofErr w:type="gramStart"/>
      <w:r w:rsidRPr="00DD7551">
        <w:rPr>
          <w:rFonts w:ascii="Times New Roman" w:hAnsi="Times New Roman" w:cs="Times New Roman"/>
          <w:b/>
          <w:i/>
          <w:sz w:val="28"/>
          <w:szCs w:val="28"/>
        </w:rPr>
        <w:t>.м</w:t>
      </w:r>
      <w:proofErr w:type="spellEnd"/>
      <w:proofErr w:type="gramEnd"/>
      <w:r w:rsidRPr="00DD7551">
        <w:rPr>
          <w:rFonts w:ascii="Times New Roman" w:hAnsi="Times New Roman" w:cs="Times New Roman"/>
          <w:b/>
          <w:i/>
          <w:sz w:val="28"/>
          <w:szCs w:val="28"/>
        </w:rPr>
        <w:t xml:space="preserve">, и к 2011 году увеличилась на 195,1 кв. м.. Обеспеченность населения местами в общедоступных объектах общественного питания составляет 25,5 мест на 1 тысячу жителей. С 2012 года в районе открыты специализированные магазины по продаже мебели,  автозапчастей,  парфюмерно-косметических товаров, строительных и хозяйственных товаров, одежды, в </w:t>
      </w:r>
      <w:proofErr w:type="spellStart"/>
      <w:r w:rsidRPr="00DD7551">
        <w:rPr>
          <w:rFonts w:ascii="Times New Roman" w:hAnsi="Times New Roman" w:cs="Times New Roman"/>
          <w:b/>
          <w:i/>
          <w:sz w:val="28"/>
          <w:szCs w:val="28"/>
        </w:rPr>
        <w:t>т.ч</w:t>
      </w:r>
      <w:proofErr w:type="spellEnd"/>
      <w:r w:rsidRPr="00DD7551">
        <w:rPr>
          <w:rFonts w:ascii="Times New Roman" w:hAnsi="Times New Roman" w:cs="Times New Roman"/>
          <w:b/>
          <w:i/>
          <w:sz w:val="28"/>
          <w:szCs w:val="28"/>
        </w:rPr>
        <w:t xml:space="preserve">. бывшей в употреблении.  </w:t>
      </w:r>
    </w:p>
    <w:p w:rsidR="0047568F" w:rsidRPr="0047568F" w:rsidRDefault="0047568F" w:rsidP="004D7D4A">
      <w:pPr>
        <w:pStyle w:val="a3"/>
        <w:ind w:firstLine="708"/>
        <w:jc w:val="both"/>
        <w:rPr>
          <w:rFonts w:ascii="Times New Roman" w:hAnsi="Times New Roman" w:cs="Times New Roman"/>
          <w:sz w:val="30"/>
          <w:szCs w:val="30"/>
        </w:rPr>
      </w:pPr>
      <w:proofErr w:type="gramStart"/>
      <w:r w:rsidRPr="0047568F">
        <w:rPr>
          <w:rFonts w:ascii="Times New Roman" w:hAnsi="Times New Roman" w:cs="Times New Roman"/>
          <w:sz w:val="30"/>
          <w:szCs w:val="30"/>
        </w:rPr>
        <w:t>Анализируя складывающуюся ситуацию на потребительском рынке области следует отметить, что</w:t>
      </w:r>
      <w:proofErr w:type="gramEnd"/>
      <w:r w:rsidRPr="0047568F">
        <w:rPr>
          <w:rFonts w:ascii="Times New Roman" w:hAnsi="Times New Roman" w:cs="Times New Roman"/>
          <w:sz w:val="30"/>
          <w:szCs w:val="30"/>
        </w:rPr>
        <w:t xml:space="preserve"> потребление населением отдельных товаров как продовольственных, так и непродовольственных увеличивается. Так, например, за январь-сентябрь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по сравнению с аналогичным периодом </w:t>
      </w:r>
      <w:smartTag w:uri="urn:schemas-microsoft-com:office:smarttags" w:element="metricconverter">
        <w:smartTagPr>
          <w:attr w:name="ProductID" w:val="2012 г"/>
        </w:smartTagPr>
        <w:r w:rsidRPr="0047568F">
          <w:rPr>
            <w:rFonts w:ascii="Times New Roman" w:hAnsi="Times New Roman" w:cs="Times New Roman"/>
            <w:sz w:val="30"/>
            <w:szCs w:val="30"/>
          </w:rPr>
          <w:t>2012 г</w:t>
        </w:r>
      </w:smartTag>
      <w:r w:rsidRPr="0047568F">
        <w:rPr>
          <w:rFonts w:ascii="Times New Roman" w:hAnsi="Times New Roman" w:cs="Times New Roman"/>
          <w:sz w:val="30"/>
          <w:szCs w:val="30"/>
        </w:rPr>
        <w:t xml:space="preserve">. выросла продажа мяса и мясных продуктов  (темп – 120,3%),  в </w:t>
      </w:r>
      <w:proofErr w:type="spellStart"/>
      <w:r w:rsidRPr="0047568F">
        <w:rPr>
          <w:rFonts w:ascii="Times New Roman" w:hAnsi="Times New Roman" w:cs="Times New Roman"/>
          <w:sz w:val="30"/>
          <w:szCs w:val="30"/>
        </w:rPr>
        <w:t>т.ч</w:t>
      </w:r>
      <w:proofErr w:type="spellEnd"/>
      <w:r w:rsidRPr="0047568F">
        <w:rPr>
          <w:rFonts w:ascii="Times New Roman" w:hAnsi="Times New Roman" w:cs="Times New Roman"/>
          <w:sz w:val="30"/>
          <w:szCs w:val="30"/>
        </w:rPr>
        <w:t>. продуктов из мяса (111,3%), фруктов (152,9%), овощей (165,6%), сыров (114,9%), масел растительных (118,9%), макаронных изделий (110,6%) и др. Вместе с тем, снизилось потребление алкогольных напитков, например реализация вин плодовых на 58%, водки на 26%, изделий лике</w:t>
      </w:r>
      <w:r>
        <w:rPr>
          <w:rFonts w:ascii="Times New Roman" w:hAnsi="Times New Roman" w:cs="Times New Roman"/>
          <w:sz w:val="30"/>
          <w:szCs w:val="30"/>
        </w:rPr>
        <w:t>ро-водочных на 14%, пива на 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сфере бытового обслуживания населения Гродненской области 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деятельность осуществляют 3 910 субъектов хозяйствования, из которых 1 039 (26,6 %) – юридические лица, 2 871 (73,4%) – индивидуальные предприниматели.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За </w:t>
      </w:r>
      <w:smartTag w:uri="urn:schemas-microsoft-com:office:smarttags" w:element="metricconverter">
        <w:smartTagPr>
          <w:attr w:name="ProductID" w:val="2016 г"/>
        </w:smartTagPr>
        <w:r w:rsidRPr="0047568F">
          <w:rPr>
            <w:rFonts w:ascii="Times New Roman" w:hAnsi="Times New Roman" w:cs="Times New Roman"/>
            <w:sz w:val="30"/>
            <w:szCs w:val="30"/>
          </w:rPr>
          <w:t>2016 г</w:t>
        </w:r>
      </w:smartTag>
      <w:r w:rsidRPr="0047568F">
        <w:rPr>
          <w:rFonts w:ascii="Times New Roman" w:hAnsi="Times New Roman" w:cs="Times New Roman"/>
          <w:sz w:val="30"/>
          <w:szCs w:val="30"/>
        </w:rPr>
        <w:t xml:space="preserve">. – 11 мес.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количество субъектов бытового обслуживания  в  области увеличилось на 911 или 30,4%.</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Развитию сфер торговли, общественного питания и бытового обслуживания населения области будет способствовать принятие мер по реализации Указа Президента Республики Беларусь от 22 сентября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 345 «О развитии торговли, общественного питания и бытового обслуживания», в соответствии с которым будут действовать льготы для субъектов хозяйствования, осуществляющих деятельность в названных сферах на территории сельской местности и малых городских поселений. </w:t>
      </w:r>
    </w:p>
    <w:p w:rsidR="006652B5" w:rsidRPr="0038417D" w:rsidRDefault="0047568F" w:rsidP="0038417D">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Гродненским областным Советом депутатов 20 ноября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во исполнение Указа № 345 принято решение № 296, которым установлены перечни сельских населенных пунктов и малых городских поселений области, к которым будут применяться льготы преференции, предусмотренные данным Указом. В перечень населенных пунктов и территорий вне населенных пунктов, относящихся к сельской местности, включено  4290 населенных пунктов из 4300 возможных (99,77%), в перечень </w:t>
      </w:r>
      <w:r w:rsidRPr="0047568F">
        <w:rPr>
          <w:rFonts w:ascii="Times New Roman" w:hAnsi="Times New Roman" w:cs="Times New Roman"/>
          <w:sz w:val="30"/>
          <w:szCs w:val="30"/>
        </w:rPr>
        <w:lastRenderedPageBreak/>
        <w:t>населенных пунктов, относящихся к территории  малых городских поселений, включено 12 населенных пунктом из 13 возможных  (92,3%).</w:t>
      </w:r>
    </w:p>
    <w:p w:rsidR="00787AAC" w:rsidRPr="00DD7551" w:rsidRDefault="00787AAC" w:rsidP="00787AAC">
      <w:pPr>
        <w:spacing w:after="0" w:line="240" w:lineRule="auto"/>
        <w:ind w:left="-284" w:firstLine="709"/>
        <w:jc w:val="both"/>
        <w:rPr>
          <w:rFonts w:ascii="Times New Roman" w:hAnsi="Times New Roman" w:cs="Times New Roman"/>
          <w:b/>
          <w:i/>
          <w:sz w:val="28"/>
          <w:szCs w:val="28"/>
        </w:rPr>
      </w:pPr>
      <w:r w:rsidRPr="00DD7551">
        <w:rPr>
          <w:rFonts w:ascii="Times New Roman" w:hAnsi="Times New Roman" w:cs="Times New Roman"/>
          <w:b/>
          <w:i/>
          <w:sz w:val="28"/>
          <w:szCs w:val="28"/>
        </w:rPr>
        <w:t>Бытовое обслуживание населения нашего района  осуществляют 44 субъекта хозяйствования, из которых 29 – юридические лица, 15 – индивидуальные предприниматели. Государственные социальные стандарты в сфере бытового обслуживания выполнены в полном объеме. Все населенные пункты района обеспечиваются бытовыми услугами.</w:t>
      </w:r>
    </w:p>
    <w:p w:rsidR="0038417D" w:rsidRPr="00787AAC" w:rsidRDefault="00787AAC" w:rsidP="00787AAC">
      <w:pPr>
        <w:tabs>
          <w:tab w:val="left" w:pos="1170"/>
        </w:tabs>
        <w:spacing w:after="0" w:line="240" w:lineRule="auto"/>
        <w:ind w:left="-284" w:firstLine="709"/>
        <w:jc w:val="both"/>
        <w:rPr>
          <w:rFonts w:ascii="Times New Roman" w:hAnsi="Times New Roman" w:cs="Times New Roman"/>
          <w:b/>
          <w:i/>
          <w:sz w:val="28"/>
          <w:szCs w:val="28"/>
        </w:rPr>
      </w:pPr>
      <w:proofErr w:type="gramStart"/>
      <w:r w:rsidRPr="00DD7551">
        <w:rPr>
          <w:rFonts w:ascii="Times New Roman" w:hAnsi="Times New Roman" w:cs="Times New Roman"/>
          <w:b/>
          <w:i/>
          <w:sz w:val="28"/>
          <w:szCs w:val="28"/>
        </w:rPr>
        <w:t>В связи с внесением изменений в систему государственных социальных стандартов по обслуживанию населения районным исполнительным комитетом определены формы бытового обслуживания в сельских населенных пунктах</w:t>
      </w:r>
      <w:proofErr w:type="gramEnd"/>
      <w:r w:rsidRPr="00DD7551">
        <w:rPr>
          <w:rFonts w:ascii="Times New Roman" w:hAnsi="Times New Roman" w:cs="Times New Roman"/>
          <w:b/>
          <w:i/>
          <w:sz w:val="28"/>
          <w:szCs w:val="28"/>
        </w:rPr>
        <w:t xml:space="preserve"> района. Предусматривается функционирование 6 сельских комплексно-приемных пунктов </w:t>
      </w:r>
      <w:proofErr w:type="spellStart"/>
      <w:r w:rsidRPr="00DD7551">
        <w:rPr>
          <w:rFonts w:ascii="Times New Roman" w:hAnsi="Times New Roman" w:cs="Times New Roman"/>
          <w:b/>
          <w:i/>
          <w:sz w:val="28"/>
          <w:szCs w:val="28"/>
        </w:rPr>
        <w:t>Зельвенского</w:t>
      </w:r>
      <w:proofErr w:type="spellEnd"/>
      <w:r w:rsidRPr="00DD7551">
        <w:rPr>
          <w:rFonts w:ascii="Times New Roman" w:hAnsi="Times New Roman" w:cs="Times New Roman"/>
          <w:b/>
          <w:i/>
          <w:sz w:val="28"/>
          <w:szCs w:val="28"/>
        </w:rPr>
        <w:t xml:space="preserve"> районного унитарного предприятия бытового обслуживания, которые обеспечат предоставление и прием заказов по 8 видам услуг для 18 сельских населенных пунктов, оказание бытовых услуг сельским жителям 107 деревень осуществляется посредством выездного обслуживания по графику.</w:t>
      </w:r>
    </w:p>
    <w:p w:rsidR="006652B5" w:rsidRDefault="006B5FC0" w:rsidP="006B5FC0">
      <w:pPr>
        <w:pStyle w:val="a3"/>
        <w:jc w:val="center"/>
        <w:rPr>
          <w:rFonts w:ascii="Times New Roman" w:hAnsi="Times New Roman" w:cs="Times New Roman"/>
          <w:b/>
          <w:sz w:val="30"/>
          <w:szCs w:val="30"/>
        </w:rPr>
      </w:pPr>
      <w:proofErr w:type="gramStart"/>
      <w:r>
        <w:rPr>
          <w:rFonts w:ascii="Times New Roman" w:hAnsi="Times New Roman" w:cs="Times New Roman"/>
          <w:b/>
          <w:sz w:val="30"/>
          <w:szCs w:val="30"/>
        </w:rPr>
        <w:t>Ж</w:t>
      </w:r>
      <w:r w:rsidR="006652B5" w:rsidRPr="006652B5">
        <w:rPr>
          <w:rFonts w:ascii="Times New Roman" w:hAnsi="Times New Roman" w:cs="Times New Roman"/>
          <w:b/>
          <w:sz w:val="30"/>
          <w:szCs w:val="30"/>
        </w:rPr>
        <w:t>илищно-коммунально</w:t>
      </w:r>
      <w:r>
        <w:rPr>
          <w:rFonts w:ascii="Times New Roman" w:hAnsi="Times New Roman" w:cs="Times New Roman"/>
          <w:b/>
          <w:sz w:val="30"/>
          <w:szCs w:val="30"/>
        </w:rPr>
        <w:t>е</w:t>
      </w:r>
      <w:proofErr w:type="gramEnd"/>
      <w:r w:rsidR="006652B5" w:rsidRPr="006652B5">
        <w:rPr>
          <w:rFonts w:ascii="Times New Roman" w:hAnsi="Times New Roman" w:cs="Times New Roman"/>
          <w:b/>
          <w:sz w:val="30"/>
          <w:szCs w:val="30"/>
        </w:rPr>
        <w:t xml:space="preserve"> хозяйства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Работа организаций жилищно-коммунального хозяйства (далее –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 В этих целях приняты нормативные правовые акты и другие документы, предусматривающие упорядочение механизма формирования себестоимости основных жилищно-коммунальных услуг (далее – ЖКУ) и порядка финансирования организаций ЖКХ.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w:t>
      </w:r>
      <w:proofErr w:type="spellStart"/>
      <w:r w:rsidRPr="006652B5">
        <w:rPr>
          <w:rFonts w:ascii="Times New Roman" w:hAnsi="Times New Roman" w:cs="Times New Roman"/>
          <w:sz w:val="30"/>
          <w:szCs w:val="30"/>
        </w:rPr>
        <w:t>энергоэффективностью</w:t>
      </w:r>
      <w:proofErr w:type="spellEnd"/>
      <w:r w:rsidRPr="006652B5">
        <w:rPr>
          <w:rFonts w:ascii="Times New Roman" w:hAnsi="Times New Roman" w:cs="Times New Roman"/>
          <w:sz w:val="30"/>
          <w:szCs w:val="30"/>
        </w:rPr>
        <w:t>, проведению капитального ремонта и тепловой модернизации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В результате перевода в 2012 – 2016 годах 54 </w:t>
      </w:r>
      <w:proofErr w:type="spellStart"/>
      <w:r w:rsidRPr="006652B5">
        <w:rPr>
          <w:rFonts w:ascii="Times New Roman" w:hAnsi="Times New Roman" w:cs="Times New Roman"/>
          <w:sz w:val="30"/>
          <w:szCs w:val="30"/>
        </w:rPr>
        <w:t>котлоагрегатов</w:t>
      </w:r>
      <w:proofErr w:type="spellEnd"/>
      <w:r w:rsidRPr="006652B5">
        <w:rPr>
          <w:rFonts w:ascii="Times New Roman" w:hAnsi="Times New Roman" w:cs="Times New Roman"/>
          <w:sz w:val="30"/>
          <w:szCs w:val="30"/>
        </w:rPr>
        <w:t xml:space="preserve"> общей мощностью 87 МВт на использование местных топливно-энергетических ресурсов (далее – ТЭР) доля местных ТЭР в балансе котельно-печного топлива увеличилась на 10,8 процентных пункта и достигла уровня 43,3 процента. Целевой показатель по доле местных ТЭР, в том числе </w:t>
      </w:r>
      <w:r w:rsidRPr="006652B5">
        <w:rPr>
          <w:rFonts w:ascii="Times New Roman" w:hAnsi="Times New Roman" w:cs="Times New Roman"/>
          <w:sz w:val="30"/>
          <w:szCs w:val="30"/>
        </w:rPr>
        <w:lastRenderedPageBreak/>
        <w:t>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Обеспечение нормативных объемов замены в 2012 – 2017 годах тепловых сетей в количестве 620,2 км позволило сократить количество тепловых сетей со сверхнормативным сроком эксплуатации и увеличить протяженность тепловых сетей с использованием предварительно изолированных трубопроводов до 57,2 процента. В результате общие потери тепловой энергии при ее транспортировке снизились на 2,7 процентных пункта и достигли уровня 8,3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За 2012 – 2017 годы ежегодные объемы капитального ремонта жилищного фонда в Гродненской области увеличились со 105 тыс. до 260 тыс. кв. м и достигли уровня 2,5 процента от эксплуатируемого организациями ЖКХ жилищного фонда. Ежегодный прирост ввода жилья после капитального ремонта в Гродненской области составил от 13 до 42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Основной задачей является восстановление технических и потребительских качеств, а также сохранение эксплуатационной надежности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Условиями ее достижения являются:</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34 года);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Обеспеченность централизованными системами водоснабжения населения городов и городских поселков Гродненской области составляет 96,6 процента, сельского населения – 76,3 процента (в том числе населения </w:t>
      </w:r>
      <w:proofErr w:type="spellStart"/>
      <w:r w:rsidRPr="006652B5">
        <w:rPr>
          <w:rFonts w:ascii="Times New Roman" w:hAnsi="Times New Roman" w:cs="Times New Roman"/>
          <w:sz w:val="30"/>
          <w:szCs w:val="30"/>
        </w:rPr>
        <w:t>агрогородков</w:t>
      </w:r>
      <w:proofErr w:type="spellEnd"/>
      <w:r w:rsidRPr="006652B5">
        <w:rPr>
          <w:rFonts w:ascii="Times New Roman" w:hAnsi="Times New Roman" w:cs="Times New Roman"/>
          <w:sz w:val="30"/>
          <w:szCs w:val="30"/>
        </w:rPr>
        <w:t xml:space="preserve"> – 81,7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Обеспеченность централизованными и местными системами хозяйственно-бытовой канализации городского населения составляет 91,0 процент, сельского населения – 42,1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настоящее время централизованным водоснабжением, вода в котором соответствует питьевому качеству, пользуется 86,2 процента потребителей.</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В связи с этим приоритетной задачей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lastRenderedPageBreak/>
        <w:t>В результате к концу 2020 года обеспеченность потребителей водоснабжением питьевого качества должна составить 100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Функционирование системы обращения с отходами основано на принципе приоритетности использования отходов по отношению к их обезвреживанию или захоронению.</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рамках реализации инвестиционного проекта «Обращение с твердыми бытовыми отходами в Республике Беларусь» в городе Гродно 29.12.2016 сдано в эксплуатацию предприятие по механической сортировке и утилизации отходов мощностью 120 тыс. тонн в год.  Эксплуатация указанного предприятия позволит значительно повысить объемы сбора (заготовки) вторичных материальных ресурсов в городе Гродно и Гродненском районе.</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Начиная с 2014 года за счет средств ГУ «Оператор вторичных материальных ресурсов» построено 3 линии сортировки коммунальных отходов в городах Лида, </w:t>
      </w:r>
      <w:proofErr w:type="spellStart"/>
      <w:r w:rsidRPr="006652B5">
        <w:rPr>
          <w:rFonts w:ascii="Times New Roman" w:hAnsi="Times New Roman" w:cs="Times New Roman"/>
          <w:sz w:val="30"/>
          <w:szCs w:val="30"/>
        </w:rPr>
        <w:t>Новогрудок</w:t>
      </w:r>
      <w:proofErr w:type="spellEnd"/>
      <w:r w:rsidRPr="006652B5">
        <w:rPr>
          <w:rFonts w:ascii="Times New Roman" w:hAnsi="Times New Roman" w:cs="Times New Roman"/>
          <w:sz w:val="30"/>
          <w:szCs w:val="30"/>
        </w:rPr>
        <w:t xml:space="preserve"> и Щучин. В  рамках совместного проекта Европейского Союза и Программы развития ООН «Содействие развитию всеобъемлющей структуры международного сотрудничества в области охраны окружающей среды в Республике Беларусь» в 2013 году построена линия сортировки в городе Мосты. </w:t>
      </w:r>
    </w:p>
    <w:p w:rsidR="003C6B57" w:rsidRDefault="004D7D4A" w:rsidP="003C6B57">
      <w:pPr>
        <w:pStyle w:val="a3"/>
        <w:jc w:val="both"/>
        <w:rPr>
          <w:rFonts w:ascii="Times New Roman" w:hAnsi="Times New Roman" w:cs="Times New Roman"/>
          <w:sz w:val="30"/>
          <w:szCs w:val="30"/>
        </w:rPr>
      </w:pPr>
      <w:r>
        <w:rPr>
          <w:rFonts w:ascii="Times New Roman" w:hAnsi="Times New Roman" w:cs="Times New Roman"/>
          <w:sz w:val="30"/>
          <w:szCs w:val="30"/>
        </w:rPr>
        <w:tab/>
      </w:r>
    </w:p>
    <w:p w:rsidR="003C6B57" w:rsidRPr="003C6B57" w:rsidRDefault="003C6B57" w:rsidP="003C6B57">
      <w:pPr>
        <w:pStyle w:val="a3"/>
        <w:jc w:val="center"/>
        <w:rPr>
          <w:rFonts w:ascii="Times New Roman" w:hAnsi="Times New Roman" w:cs="Times New Roman"/>
          <w:b/>
          <w:sz w:val="30"/>
          <w:szCs w:val="30"/>
        </w:rPr>
      </w:pPr>
      <w:r w:rsidRPr="003C6B57">
        <w:rPr>
          <w:rFonts w:ascii="Times New Roman" w:hAnsi="Times New Roman" w:cs="Times New Roman"/>
          <w:b/>
          <w:sz w:val="30"/>
          <w:szCs w:val="30"/>
        </w:rPr>
        <w:t>Занятость населения</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Задачи, определенные в сфере занятости населения, в Гродненской области  выполняются. </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Основные направления государственной политики в данной сфере определены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367E85" w:rsidRPr="0038417D" w:rsidRDefault="003C6B57" w:rsidP="0038417D">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t xml:space="preserve">С января 2012 года по ноябрь 2017 года включительно в органы по труду, занятости и социальной защите области обратилось за содействием в трудоустройстве 214,6 тыс. человек, из них 135,7 тыс. зарегистрированы безработными.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этот период на созданные рабочие места и имевшиеся вакансии  трудоустроено 149,8 тыс. человек, в том числе 99,2 тыс. безработных.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Особое внимание уделялось трудоустройству граждан, нуждающихся в дополнительной  социальной защите и не способных на равных условиях конкурировать на рынке труда (инвалиды, лица </w:t>
      </w:r>
      <w:proofErr w:type="spellStart"/>
      <w:r w:rsidRPr="003C6B57">
        <w:rPr>
          <w:rFonts w:ascii="Times New Roman" w:hAnsi="Times New Roman" w:cs="Times New Roman"/>
          <w:sz w:val="30"/>
          <w:szCs w:val="30"/>
        </w:rPr>
        <w:t>предпенсионного</w:t>
      </w:r>
      <w:proofErr w:type="spellEnd"/>
      <w:r w:rsidRPr="003C6B57">
        <w:rPr>
          <w:rFonts w:ascii="Times New Roman" w:hAnsi="Times New Roman" w:cs="Times New Roman"/>
          <w:sz w:val="30"/>
          <w:szCs w:val="30"/>
        </w:rPr>
        <w:t xml:space="preserve"> возраста, лица, освобожденные из мест лишения свободы и другие), при содействии службы занятости трудоустроено 12,8 тыс. граждан данных категорий.</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 xml:space="preserve">С целью повышения конкурентоспособности и мобильности на рынке труда на профессиональную подготовку, переподготовку и повышение квалификации направлено 9,1 тыс. безработных.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Оказана финансовая поддержка для организации предпринимательской, ремесленной деятельности и деятельности по оказанию услуг в сфере </w:t>
      </w:r>
      <w:proofErr w:type="spellStart"/>
      <w:r w:rsidRPr="003C6B57">
        <w:rPr>
          <w:rFonts w:ascii="Times New Roman" w:hAnsi="Times New Roman" w:cs="Times New Roman"/>
          <w:sz w:val="30"/>
          <w:szCs w:val="30"/>
        </w:rPr>
        <w:t>агроэкотуризма</w:t>
      </w:r>
      <w:proofErr w:type="spellEnd"/>
      <w:r w:rsidRPr="003C6B57">
        <w:rPr>
          <w:rFonts w:ascii="Times New Roman" w:hAnsi="Times New Roman" w:cs="Times New Roman"/>
          <w:sz w:val="30"/>
          <w:szCs w:val="30"/>
        </w:rPr>
        <w:t xml:space="preserve"> в виде субсидий 1,2 тыс. безработным.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lastRenderedPageBreak/>
        <w:tab/>
        <w:t xml:space="preserve">На время поиска постоянной работы для незанятых граждан ежегодно организовывались оплачиваемые общественные работы, в которых приняло участие более 54,0 тыс. человек.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Обеспечена трудовая занятость в свободное от учебы время 25,3 тыс. человек из числа учащейся и студенческой молодежи.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Несмотря, что с конца 2014 года на рынке труда проявились новые тенденции (увеличение обращений граждан в службу занятости, рост регистрации безработных, снижение спроса на рабочую силу), также сохранявшиеся и в 2015 – 2016 годах, уровень зарегистрированной безработицы в области в этот период не выходил за рамки прогнозных параметров и на конец 2016 года составил 0,9% к численности экономически активного населения.</w:t>
      </w:r>
    </w:p>
    <w:p w:rsidR="00367E85" w:rsidRPr="00367E85" w:rsidRDefault="00367E85" w:rsidP="00367E85">
      <w:pPr>
        <w:pStyle w:val="a3"/>
        <w:ind w:firstLine="708"/>
        <w:rPr>
          <w:rFonts w:ascii="Times New Roman" w:hAnsi="Times New Roman" w:cs="Times New Roman"/>
          <w:sz w:val="30"/>
          <w:szCs w:val="30"/>
        </w:rPr>
      </w:pPr>
      <w:r w:rsidRPr="00367E85">
        <w:rPr>
          <w:rFonts w:ascii="Times New Roman" w:hAnsi="Times New Roman" w:cs="Times New Roman"/>
          <w:sz w:val="30"/>
          <w:szCs w:val="30"/>
        </w:rPr>
        <w:t>Рисунок. Динамика уровня зарегистрированной безработицы в Гродненской области за 2012 – 2017 годы.</w:t>
      </w:r>
    </w:p>
    <w:p w:rsidR="00367E85" w:rsidRDefault="00367E85" w:rsidP="00367E85">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5pt;height:207.6pt" o:ole="">
            <v:imagedata r:id="rId16" o:title=""/>
          </v:shape>
          <o:OLEObject Type="Embed" ProgID="PowerPoint.Slide.12" ShapeID="_x0000_i1025" DrawAspect="Content" ObjectID="_1580112799" r:id="rId17"/>
        </w:object>
      </w:r>
    </w:p>
    <w:p w:rsidR="003C6B57" w:rsidRPr="003C6B57" w:rsidRDefault="003C6B57" w:rsidP="00367E85">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В результате принимаемых местными исполнительными и распорядительными органами мер по содействию занятости населения ситуация на рынке труда Гродненской области и ее регионов в настоящее время в целом стабилизировалась.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1 декабря 2017 года численность зарегистрированных безработных составила 2,8 тыс. человек, что является самым низким показателем за ряд последних лет. Уровень зарегистрированной безработицы по предварительной оценке составил 0,6% к численности экономически активного населения.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рынке труда отмечается увеличение потребности нанимателей в рабочей силе: на 1 декабря 2017 года в службу занятости было заявлено 8,3 тыс. вакансий, по сравнению с началом текущего и аналогичного периода 2016 года их число выросло в 1,5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Как следствие, коэффициент напряженности на рынке труда по отношению к 1 декабря 2016 года и началу текущего года снизился в 2,7 раза и составил 0,3 безработных на одну заявленную вакансию. При этом с сентября текущего года количество свободных рабочих мест стабильно </w:t>
      </w:r>
      <w:r w:rsidRPr="003C6B57">
        <w:rPr>
          <w:rFonts w:ascii="Times New Roman" w:hAnsi="Times New Roman" w:cs="Times New Roman"/>
          <w:sz w:val="30"/>
          <w:szCs w:val="30"/>
        </w:rPr>
        <w:lastRenderedPageBreak/>
        <w:t>превышает численность зарегистрированных безработных во всех регионах области.</w:t>
      </w:r>
    </w:p>
    <w:p w:rsidR="00787AAC" w:rsidRDefault="003C6B57" w:rsidP="00787AAC">
      <w:pPr>
        <w:pStyle w:val="a3"/>
        <w:ind w:left="708"/>
        <w:jc w:val="both"/>
        <w:rPr>
          <w:rFonts w:ascii="Times New Roman" w:hAnsi="Times New Roman" w:cs="Times New Roman"/>
          <w:sz w:val="30"/>
          <w:szCs w:val="30"/>
        </w:rPr>
      </w:pPr>
      <w:r w:rsidRPr="003C6B57">
        <w:rPr>
          <w:rFonts w:ascii="Times New Roman" w:hAnsi="Times New Roman" w:cs="Times New Roman"/>
          <w:sz w:val="30"/>
          <w:szCs w:val="30"/>
        </w:rPr>
        <w:t>В соответствии с прогнозом, в 2018 году ситуация на рынке труда Гродненской области за счет перераспределения рабочей силы по организациям и видам экономической деятельности будет стабильной. Занятость будет поддерживаться за счет создания рабочих мест в отраслях экономики, в том числе в сфере малого и среднего предпринимательства.</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В 2013-2017 годах в управление по труду, занятости и социальной защите </w:t>
      </w:r>
      <w:proofErr w:type="spellStart"/>
      <w:r w:rsidRPr="00DD7551">
        <w:rPr>
          <w:rFonts w:ascii="Times New Roman" w:eastAsia="Calibri" w:hAnsi="Times New Roman" w:cs="Times New Roman"/>
          <w:b/>
          <w:i/>
          <w:sz w:val="28"/>
          <w:szCs w:val="28"/>
        </w:rPr>
        <w:t>Зельвенского</w:t>
      </w:r>
      <w:proofErr w:type="spellEnd"/>
      <w:r w:rsidRPr="00DD7551">
        <w:rPr>
          <w:rFonts w:ascii="Times New Roman" w:eastAsia="Calibri" w:hAnsi="Times New Roman" w:cs="Times New Roman"/>
          <w:b/>
          <w:i/>
          <w:sz w:val="28"/>
          <w:szCs w:val="28"/>
        </w:rPr>
        <w:t xml:space="preserve"> района обратилось за содействием в трудоустройстве 3348 человек, из них 2076 зарегистрированы безработными. </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За этот период на созданные рабочие места и имевшиеся вакансии  трудоустроено 2398 человек, в том числе 1718 безработных.</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Особое внимание уделялось трудоустройству граждан, нуждающихся в дополнительной  социальной защите и не способных на равных условиях конкурировать на рынке труда (инвалиды, лица </w:t>
      </w:r>
      <w:proofErr w:type="spellStart"/>
      <w:r w:rsidRPr="00DD7551">
        <w:rPr>
          <w:rFonts w:ascii="Times New Roman" w:eastAsia="Calibri" w:hAnsi="Times New Roman" w:cs="Times New Roman"/>
          <w:b/>
          <w:i/>
          <w:sz w:val="28"/>
          <w:szCs w:val="28"/>
        </w:rPr>
        <w:t>предпенсионного</w:t>
      </w:r>
      <w:proofErr w:type="spellEnd"/>
      <w:r w:rsidRPr="00DD7551">
        <w:rPr>
          <w:rFonts w:ascii="Times New Roman" w:eastAsia="Calibri" w:hAnsi="Times New Roman" w:cs="Times New Roman"/>
          <w:b/>
          <w:i/>
          <w:sz w:val="28"/>
          <w:szCs w:val="28"/>
        </w:rPr>
        <w:t xml:space="preserve"> возраста, лица, освобожденные из мест лишения свободы и другие), при содействии службы занятости трудоустроено 175 граждан данных категорий.</w:t>
      </w:r>
    </w:p>
    <w:p w:rsidR="00787AAC" w:rsidRPr="00DD7551" w:rsidRDefault="00787AAC" w:rsidP="00787AAC">
      <w:pPr>
        <w:spacing w:after="0" w:line="240" w:lineRule="auto"/>
        <w:ind w:left="-284" w:firstLine="709"/>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С целью повышения конкурентоспособности и мобильности на рынке труда на профессиональную подготовку, переподготовку и повышение квалификации направлено 123 безработных. </w:t>
      </w:r>
    </w:p>
    <w:p w:rsidR="00787AAC" w:rsidRPr="00DD7551" w:rsidRDefault="00787AAC" w:rsidP="00787AAC">
      <w:pPr>
        <w:spacing w:after="0" w:line="240" w:lineRule="auto"/>
        <w:ind w:left="-284"/>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ab/>
        <w:t xml:space="preserve">Оказана финансовая поддержка для организации предпринимательской, ремесленной деятельности и деятельности по оказанию услуг в сфере </w:t>
      </w:r>
      <w:proofErr w:type="spellStart"/>
      <w:r w:rsidRPr="00DD7551">
        <w:rPr>
          <w:rFonts w:ascii="Times New Roman" w:eastAsia="Calibri" w:hAnsi="Times New Roman" w:cs="Times New Roman"/>
          <w:b/>
          <w:i/>
          <w:sz w:val="28"/>
          <w:szCs w:val="28"/>
        </w:rPr>
        <w:t>агроэкотуризма</w:t>
      </w:r>
      <w:proofErr w:type="spellEnd"/>
      <w:r w:rsidRPr="00DD7551">
        <w:rPr>
          <w:rFonts w:ascii="Times New Roman" w:eastAsia="Calibri" w:hAnsi="Times New Roman" w:cs="Times New Roman"/>
          <w:b/>
          <w:i/>
          <w:sz w:val="28"/>
          <w:szCs w:val="28"/>
        </w:rPr>
        <w:t xml:space="preserve"> в виде субсидий 31 безработному. </w:t>
      </w:r>
    </w:p>
    <w:p w:rsidR="00787AAC" w:rsidRPr="00DD7551" w:rsidRDefault="00787AAC" w:rsidP="00787AAC">
      <w:pPr>
        <w:spacing w:after="0" w:line="240" w:lineRule="auto"/>
        <w:ind w:left="-284"/>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ab/>
        <w:t xml:space="preserve">На время поиска постоянной работы для незанятых граждан ежегодно организовывались оплачиваемые общественные работы, в которых приняло участие 915 человек. </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Обеспечена трудовая занятость в свободное от учебы время 403 человекам из числа учащейся и студенческой молодежи.</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В 2013 – 2017 годах уровень зарегистрированной безработицы в районе  не выходил за рамки прогнозных параметров и </w:t>
      </w:r>
      <w:proofErr w:type="gramStart"/>
      <w:r w:rsidRPr="00DD7551">
        <w:rPr>
          <w:rFonts w:ascii="Times New Roman" w:eastAsia="Calibri" w:hAnsi="Times New Roman" w:cs="Times New Roman"/>
          <w:b/>
          <w:i/>
          <w:sz w:val="28"/>
          <w:szCs w:val="28"/>
        </w:rPr>
        <w:t>на конец</w:t>
      </w:r>
      <w:proofErr w:type="gramEnd"/>
      <w:r w:rsidRPr="00DD7551">
        <w:rPr>
          <w:rFonts w:ascii="Times New Roman" w:eastAsia="Calibri" w:hAnsi="Times New Roman" w:cs="Times New Roman"/>
          <w:b/>
          <w:i/>
          <w:sz w:val="28"/>
          <w:szCs w:val="28"/>
        </w:rPr>
        <w:t xml:space="preserve"> 2017 года составил 0,5% к численности экономически активного населения.</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В результате принимаемых местными исполнительными и распорядительными органами мер по содействию занятости населения ситуация на рынке труда </w:t>
      </w:r>
      <w:proofErr w:type="spellStart"/>
      <w:r w:rsidRPr="00DD7551">
        <w:rPr>
          <w:rFonts w:ascii="Times New Roman" w:eastAsia="Calibri" w:hAnsi="Times New Roman" w:cs="Times New Roman"/>
          <w:b/>
          <w:i/>
          <w:sz w:val="28"/>
          <w:szCs w:val="28"/>
        </w:rPr>
        <w:t>Зельвенского</w:t>
      </w:r>
      <w:proofErr w:type="spellEnd"/>
      <w:r w:rsidRPr="00DD7551">
        <w:rPr>
          <w:rFonts w:ascii="Times New Roman" w:eastAsia="Calibri" w:hAnsi="Times New Roman" w:cs="Times New Roman"/>
          <w:b/>
          <w:i/>
          <w:sz w:val="28"/>
          <w:szCs w:val="28"/>
        </w:rPr>
        <w:t xml:space="preserve"> района в настоящее время в целом стабилизировалась.</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На 1 января 2018 года численность зарегистрированных безработных составила 33 человека, что является самым низким показателем за ряд последних лет. Уровень зарегистрированной безработицы составил 0,5% к численности экономически активного населения. </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На рынке труда отмечается увеличение потребности нанимателей в рабочей силе: на 1 января 2018 года в службу занятости было заявлено 186 вакансий, по сравнению с началом 2017 года их число выросло на </w:t>
      </w:r>
      <w:r w:rsidRPr="00DD7551">
        <w:rPr>
          <w:rFonts w:ascii="Times New Roman" w:eastAsia="Calibri" w:hAnsi="Times New Roman" w:cs="Times New Roman"/>
          <w:b/>
          <w:i/>
          <w:color w:val="000000"/>
          <w:sz w:val="28"/>
          <w:szCs w:val="28"/>
        </w:rPr>
        <w:t xml:space="preserve">21,6 % </w:t>
      </w:r>
      <w:r w:rsidRPr="00DD7551">
        <w:rPr>
          <w:rFonts w:ascii="Times New Roman" w:eastAsia="Calibri" w:hAnsi="Times New Roman" w:cs="Times New Roman"/>
          <w:b/>
          <w:i/>
          <w:sz w:val="28"/>
          <w:szCs w:val="28"/>
        </w:rPr>
        <w:t xml:space="preserve">. </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Как следствие, коэффициент напряженности на рынке труда на 1 января 2018 года составил 0,2 безработных на одну заявленную вакансию. </w:t>
      </w:r>
    </w:p>
    <w:p w:rsidR="00787AAC" w:rsidRPr="00DD7551" w:rsidRDefault="00787AAC" w:rsidP="00787AAC">
      <w:pPr>
        <w:spacing w:after="0" w:line="240" w:lineRule="auto"/>
        <w:ind w:left="-284" w:firstLine="709"/>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lastRenderedPageBreak/>
        <w:t xml:space="preserve">В соответствии с прогнозом, в 2018 году ситуация на рынке труда </w:t>
      </w:r>
      <w:proofErr w:type="spellStart"/>
      <w:r w:rsidRPr="00DD7551">
        <w:rPr>
          <w:rFonts w:ascii="Times New Roman" w:eastAsia="Calibri" w:hAnsi="Times New Roman" w:cs="Times New Roman"/>
          <w:b/>
          <w:i/>
          <w:sz w:val="28"/>
          <w:szCs w:val="28"/>
        </w:rPr>
        <w:t>Зельвенского</w:t>
      </w:r>
      <w:proofErr w:type="spellEnd"/>
      <w:r w:rsidRPr="00DD7551">
        <w:rPr>
          <w:rFonts w:ascii="Times New Roman" w:eastAsia="Calibri" w:hAnsi="Times New Roman" w:cs="Times New Roman"/>
          <w:b/>
          <w:i/>
          <w:sz w:val="28"/>
          <w:szCs w:val="28"/>
        </w:rPr>
        <w:t xml:space="preserve"> района за счет перераспределения рабочей силы по организациям и видам экономической деятельности будет стабильной. Занятость будет поддерживаться за счет создания рабочих мест в отраслях экономики, в том числе в сфере малого и среднего предпринимательства.</w:t>
      </w:r>
    </w:p>
    <w:p w:rsidR="00787AAC" w:rsidRPr="003C6B57" w:rsidRDefault="00787AAC" w:rsidP="00A01A5B">
      <w:pPr>
        <w:pStyle w:val="a3"/>
        <w:ind w:left="708"/>
        <w:jc w:val="both"/>
        <w:rPr>
          <w:rFonts w:ascii="Times New Roman" w:hAnsi="Times New Roman" w:cs="Times New Roman"/>
          <w:sz w:val="30"/>
          <w:szCs w:val="30"/>
        </w:rPr>
      </w:pPr>
    </w:p>
    <w:p w:rsidR="003C6B57" w:rsidRPr="00195032" w:rsidRDefault="003C6B57" w:rsidP="0038417D">
      <w:pPr>
        <w:pStyle w:val="a3"/>
        <w:jc w:val="center"/>
        <w:rPr>
          <w:rFonts w:ascii="Times New Roman" w:hAnsi="Times New Roman" w:cs="Times New Roman"/>
          <w:b/>
          <w:sz w:val="30"/>
          <w:szCs w:val="30"/>
        </w:rPr>
      </w:pPr>
      <w:r w:rsidRPr="00195032">
        <w:rPr>
          <w:rFonts w:ascii="Times New Roman" w:hAnsi="Times New Roman" w:cs="Times New Roman"/>
          <w:b/>
          <w:sz w:val="30"/>
          <w:szCs w:val="30"/>
        </w:rPr>
        <w:t>Оплата труда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 период 2012-2016 годы в сфере оплаты труда достигнуты положительные результаты. Размеры номинальной и реальной заработной платы выросли – соответственно в 3,5 и 1,3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начала 2017 года в области прослеживается тенденция по наращиванию темпов роста как номинальной, так и реальной заработной платы к уровню прошлого (январь-март – 108,2 % и 100,6 %, январь-июнь – 108,9 % и 101,8 %, январь-сентябрь – 110,3 % и 103,7 %).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январь-октябрь 2017 года номинальная начисленная среднемесячная заработная плата в отраслях экономики составила 684,5 руб. или 111,0 % к аналогичному периоду 2016 года, в том числе в октябре – 739,4 руб., 118,0 % к октябрю 2016 года. Темп роста реальной заработной платы составил – соответственно  104,4% и 112,1 %.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По уровню заработной платы Гродненская область находится на третьем месте среди других областей республики.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По видам экономической деятельности заработная плата за январь-октябрь 2017 года в промышленности составила 801,0 руб., темп роста – 112,1 %, в строительстве – 833,8 руб., темп роста – 113,8 %, в транспортной деятельности, складировании, почтовой и курьерской деятельности – 755,8 руб., темп роста – 108,9 %, оптовой и розничной торговле – 621,2 руб., темп роста – 111,7 %.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отраслях, финансируемых из бюджета, размер номинальной среднемесячной заработной  платы за январь-октябрь 2017  года  составил 558,1 руб. или 109,7 % к январю-октябрю  2016 года. Из них: в образовании – 506,5 руб. (профессорско-преподавательский состав – 914,0 руб., учителя – 614,6 руб.), в здравоохранении и социальных услугах – 534,1 руб. (врачи – 868,4 руб., средний медицинский персонал – 557,9 руб.), творчество, спорт, развлечения, отдых – 482,7 руб. </w:t>
      </w:r>
    </w:p>
    <w:p w:rsid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январе-октябре 2017 года соотношение заработной платы в бюджетной сфере и в целом по области составило 81,5 %. </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С начала 2017 года в районе прослеживается тенденция по наращиванию темпов роста как номинальной, так и реальной заработной платы к уровню прошлого (январь-март – 105,4 % и 0,98 %, январь-июнь – 108,1 % и 101,2 %, январь-сентябрь – 110,0 % и 103,4 %, январь – декабрь – 113,0% и 106,6 %).</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 xml:space="preserve">За январь-декабрь 2017 года номинальная начисленная среднемесячная заработная плата в отраслях экономики составила 568,2 руб. или 113,0 % к </w:t>
      </w:r>
      <w:r w:rsidRPr="00DD7551">
        <w:rPr>
          <w:rFonts w:ascii="Times New Roman" w:eastAsia="Calibri" w:hAnsi="Times New Roman" w:cs="Times New Roman"/>
          <w:b/>
          <w:i/>
          <w:sz w:val="28"/>
          <w:szCs w:val="28"/>
        </w:rPr>
        <w:lastRenderedPageBreak/>
        <w:t>аналогичному периоду 2016 года, в том числе в декабрь – 673,3 руб., 132,2 % к декабрю 2016 года. Темп роста реальной заработной платы составил – соответственно  106,6 % и 126,4 %.</w:t>
      </w:r>
    </w:p>
    <w:p w:rsidR="00787AAC" w:rsidRPr="00DD7551" w:rsidRDefault="00787AAC" w:rsidP="00787AAC">
      <w:pPr>
        <w:spacing w:after="0" w:line="240" w:lineRule="auto"/>
        <w:ind w:left="-284" w:firstLine="708"/>
        <w:jc w:val="both"/>
        <w:rPr>
          <w:rFonts w:ascii="Times New Roman" w:eastAsia="Times New Roman" w:hAnsi="Times New Roman" w:cs="Times New Roman"/>
          <w:b/>
          <w:i/>
          <w:sz w:val="28"/>
          <w:szCs w:val="28"/>
          <w:lang w:eastAsia="ru-RU"/>
        </w:rPr>
      </w:pPr>
      <w:r w:rsidRPr="00DD7551">
        <w:rPr>
          <w:rFonts w:ascii="Times New Roman" w:eastAsia="Times New Roman" w:hAnsi="Times New Roman" w:cs="Times New Roman"/>
          <w:b/>
          <w:i/>
          <w:sz w:val="28"/>
          <w:szCs w:val="28"/>
          <w:lang w:eastAsia="ru-RU"/>
        </w:rPr>
        <w:t xml:space="preserve">Среди семнадцати районов области </w:t>
      </w:r>
      <w:proofErr w:type="spellStart"/>
      <w:r w:rsidRPr="00DD7551">
        <w:rPr>
          <w:rFonts w:ascii="Times New Roman" w:eastAsia="Times New Roman" w:hAnsi="Times New Roman" w:cs="Times New Roman"/>
          <w:b/>
          <w:i/>
          <w:sz w:val="28"/>
          <w:szCs w:val="28"/>
          <w:lang w:eastAsia="ru-RU"/>
        </w:rPr>
        <w:t>Зельвенский</w:t>
      </w:r>
      <w:proofErr w:type="spellEnd"/>
      <w:r w:rsidRPr="00DD7551">
        <w:rPr>
          <w:rFonts w:ascii="Times New Roman" w:eastAsia="Times New Roman" w:hAnsi="Times New Roman" w:cs="Times New Roman"/>
          <w:b/>
          <w:i/>
          <w:sz w:val="28"/>
          <w:szCs w:val="28"/>
          <w:lang w:eastAsia="ru-RU"/>
        </w:rPr>
        <w:t xml:space="preserve"> по уровню оплаты труда находится на 13 месте.</w:t>
      </w:r>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proofErr w:type="gramStart"/>
      <w:r w:rsidRPr="00DD7551">
        <w:rPr>
          <w:rFonts w:ascii="Times New Roman" w:eastAsia="Calibri" w:hAnsi="Times New Roman" w:cs="Times New Roman"/>
          <w:b/>
          <w:i/>
          <w:sz w:val="28"/>
          <w:szCs w:val="28"/>
        </w:rPr>
        <w:t xml:space="preserve">По видам экономической деятельности заработная плата за январь-декабрь 2017 года в промышленности составила 643,9 руб., темп роста – 116,0 %, в строительстве – 464,7 руб., темп роста – 124,2 %, в транспортной деятельности, складировании, почтовой и курьерской деятельности – 569,5 руб., темп роста – 106,4 %, оптовой и розничной торговле – 554,4 руб., темп роста – 119,5 %, в сельском и лесном хозяйстве – 518,3 руб., темп роста 115,0 %. </w:t>
      </w:r>
      <w:proofErr w:type="gramEnd"/>
    </w:p>
    <w:p w:rsidR="00787AAC" w:rsidRPr="00DD7551" w:rsidRDefault="00787AAC" w:rsidP="00787AAC">
      <w:pPr>
        <w:spacing w:after="0" w:line="240" w:lineRule="auto"/>
        <w:ind w:left="-284" w:firstLine="708"/>
        <w:jc w:val="both"/>
        <w:rPr>
          <w:rFonts w:ascii="Times New Roman" w:eastAsia="Calibri" w:hAnsi="Times New Roman" w:cs="Times New Roman"/>
          <w:b/>
          <w:i/>
          <w:sz w:val="28"/>
          <w:szCs w:val="28"/>
        </w:rPr>
      </w:pPr>
      <w:r w:rsidRPr="00DD7551">
        <w:rPr>
          <w:rFonts w:ascii="Times New Roman" w:eastAsia="Calibri" w:hAnsi="Times New Roman" w:cs="Times New Roman"/>
          <w:b/>
          <w:i/>
          <w:sz w:val="28"/>
          <w:szCs w:val="28"/>
        </w:rPr>
        <w:t>В отраслях, финансируемых из бюджета, размер номинальной среднемесячной заработной  платы за январь-декабрь 2017  года  составил 534,4 руб. или 112,6 % к январ</w:t>
      </w:r>
      <w:proofErr w:type="gramStart"/>
      <w:r w:rsidRPr="00DD7551">
        <w:rPr>
          <w:rFonts w:ascii="Times New Roman" w:eastAsia="Calibri" w:hAnsi="Times New Roman" w:cs="Times New Roman"/>
          <w:b/>
          <w:i/>
          <w:sz w:val="28"/>
          <w:szCs w:val="28"/>
        </w:rPr>
        <w:t>ю-</w:t>
      </w:r>
      <w:proofErr w:type="gramEnd"/>
      <w:r w:rsidRPr="00DD7551">
        <w:rPr>
          <w:rFonts w:ascii="Times New Roman" w:eastAsia="Calibri" w:hAnsi="Times New Roman" w:cs="Times New Roman"/>
          <w:b/>
          <w:i/>
          <w:sz w:val="28"/>
          <w:szCs w:val="28"/>
        </w:rPr>
        <w:t xml:space="preserve"> декабрю  2016 года. </w:t>
      </w:r>
      <w:proofErr w:type="gramStart"/>
      <w:r w:rsidRPr="00DD7551">
        <w:rPr>
          <w:rFonts w:ascii="Times New Roman" w:eastAsia="Calibri" w:hAnsi="Times New Roman" w:cs="Times New Roman"/>
          <w:b/>
          <w:i/>
          <w:sz w:val="28"/>
          <w:szCs w:val="28"/>
        </w:rPr>
        <w:t xml:space="preserve">Из них: в образовании – 508,7 руб., в здравоохранении и социальных услугах – 516,8 руб. творчество, спорт, развлечения, отдых – 499,5 руб. </w:t>
      </w:r>
      <w:proofErr w:type="gramEnd"/>
    </w:p>
    <w:p w:rsidR="00787AAC" w:rsidRDefault="00787AAC" w:rsidP="00787AAC">
      <w:pPr>
        <w:spacing w:after="0" w:line="240" w:lineRule="auto"/>
        <w:ind w:left="-284" w:firstLine="709"/>
        <w:jc w:val="both"/>
        <w:rPr>
          <w:rFonts w:ascii="Times New Roman" w:eastAsia="Times New Roman" w:hAnsi="Times New Roman" w:cs="Times New Roman"/>
          <w:b/>
          <w:i/>
          <w:sz w:val="28"/>
          <w:szCs w:val="28"/>
          <w:lang w:eastAsia="ru-RU"/>
        </w:rPr>
      </w:pPr>
      <w:r w:rsidRPr="00DD7551">
        <w:rPr>
          <w:rFonts w:ascii="Times New Roman" w:eastAsia="Times New Roman" w:hAnsi="Times New Roman" w:cs="Times New Roman"/>
          <w:b/>
          <w:i/>
          <w:sz w:val="28"/>
          <w:szCs w:val="28"/>
          <w:lang w:eastAsia="ru-RU"/>
        </w:rPr>
        <w:t>По бюджетным организациям заработная плата составила 90,1 % от заработной платы  коммерческих организаций.</w:t>
      </w:r>
    </w:p>
    <w:p w:rsidR="00787AAC" w:rsidRPr="00DD7551" w:rsidRDefault="00787AAC" w:rsidP="00787AAC">
      <w:pPr>
        <w:spacing w:after="0" w:line="240" w:lineRule="auto"/>
        <w:ind w:left="-284" w:firstLine="709"/>
        <w:jc w:val="both"/>
        <w:rPr>
          <w:rFonts w:ascii="Times New Roman" w:eastAsia="Times New Roman" w:hAnsi="Times New Roman" w:cs="Times New Roman"/>
          <w:b/>
          <w:i/>
          <w:sz w:val="28"/>
          <w:szCs w:val="28"/>
          <w:lang w:eastAsia="ru-RU"/>
        </w:rPr>
      </w:pPr>
    </w:p>
    <w:p w:rsidR="00787AAC" w:rsidRPr="00787AAC" w:rsidRDefault="00787AAC" w:rsidP="00787AAC">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Пенсионное обеспечение</w:t>
      </w:r>
    </w:p>
    <w:p w:rsidR="00787AAC" w:rsidRPr="00DD7551" w:rsidRDefault="00787AAC" w:rsidP="00787AAC">
      <w:pPr>
        <w:pStyle w:val="a3"/>
        <w:ind w:left="-284" w:firstLine="708"/>
        <w:jc w:val="both"/>
        <w:rPr>
          <w:rFonts w:ascii="Times New Roman" w:hAnsi="Times New Roman" w:cs="Times New Roman"/>
          <w:sz w:val="28"/>
          <w:szCs w:val="28"/>
        </w:rPr>
      </w:pPr>
      <w:proofErr w:type="gramStart"/>
      <w:r w:rsidRPr="00DD7551">
        <w:rPr>
          <w:rFonts w:ascii="Times New Roman" w:hAnsi="Times New Roman" w:cs="Times New Roman"/>
          <w:sz w:val="28"/>
          <w:szCs w:val="28"/>
        </w:rPr>
        <w:t>Системой Министерства труда и социальной защиты Республики Беларусь пенсии выплачиваются 292 923 (</w:t>
      </w:r>
      <w:r w:rsidRPr="00DD7551">
        <w:rPr>
          <w:rFonts w:ascii="Times New Roman" w:hAnsi="Times New Roman" w:cs="Times New Roman"/>
          <w:b/>
          <w:sz w:val="28"/>
          <w:szCs w:val="28"/>
        </w:rPr>
        <w:t xml:space="preserve">6302 – </w:t>
      </w:r>
      <w:proofErr w:type="spellStart"/>
      <w:r w:rsidRPr="00DD7551">
        <w:rPr>
          <w:rFonts w:ascii="Times New Roman" w:hAnsi="Times New Roman" w:cs="Times New Roman"/>
          <w:b/>
          <w:sz w:val="28"/>
          <w:szCs w:val="28"/>
        </w:rPr>
        <w:t>Зельвенский</w:t>
      </w:r>
      <w:proofErr w:type="spellEnd"/>
      <w:r w:rsidRPr="00DD7551">
        <w:rPr>
          <w:rFonts w:ascii="Times New Roman" w:hAnsi="Times New Roman" w:cs="Times New Roman"/>
          <w:b/>
          <w:sz w:val="28"/>
          <w:szCs w:val="28"/>
        </w:rPr>
        <w:t xml:space="preserve"> район</w:t>
      </w:r>
      <w:r w:rsidRPr="00DD7551">
        <w:rPr>
          <w:rFonts w:ascii="Times New Roman" w:hAnsi="Times New Roman" w:cs="Times New Roman"/>
          <w:sz w:val="28"/>
          <w:szCs w:val="28"/>
        </w:rPr>
        <w:t>) (в 2012 году – 291 162 (</w:t>
      </w:r>
      <w:r w:rsidRPr="00DD7551">
        <w:rPr>
          <w:rFonts w:ascii="Times New Roman" w:hAnsi="Times New Roman" w:cs="Times New Roman"/>
          <w:b/>
          <w:sz w:val="28"/>
          <w:szCs w:val="28"/>
        </w:rPr>
        <w:t xml:space="preserve">7001 – </w:t>
      </w:r>
      <w:proofErr w:type="spellStart"/>
      <w:r w:rsidRPr="00DD7551">
        <w:rPr>
          <w:rFonts w:ascii="Times New Roman" w:hAnsi="Times New Roman" w:cs="Times New Roman"/>
          <w:b/>
          <w:sz w:val="28"/>
          <w:szCs w:val="28"/>
        </w:rPr>
        <w:t>Зельвенский</w:t>
      </w:r>
      <w:proofErr w:type="spellEnd"/>
      <w:r w:rsidRPr="00DD7551">
        <w:rPr>
          <w:rFonts w:ascii="Times New Roman" w:hAnsi="Times New Roman" w:cs="Times New Roman"/>
          <w:b/>
          <w:sz w:val="28"/>
          <w:szCs w:val="28"/>
        </w:rPr>
        <w:t xml:space="preserve"> район</w:t>
      </w:r>
      <w:r w:rsidRPr="00DD7551">
        <w:rPr>
          <w:rFonts w:ascii="Times New Roman" w:hAnsi="Times New Roman" w:cs="Times New Roman"/>
          <w:sz w:val="28"/>
          <w:szCs w:val="28"/>
        </w:rPr>
        <w:t>) жителям Гродненской области, что составляет 28 (</w:t>
      </w:r>
      <w:r w:rsidRPr="00DD7551">
        <w:rPr>
          <w:rFonts w:ascii="Times New Roman" w:hAnsi="Times New Roman" w:cs="Times New Roman"/>
          <w:b/>
          <w:sz w:val="28"/>
          <w:szCs w:val="28"/>
        </w:rPr>
        <w:t xml:space="preserve">42 % - </w:t>
      </w:r>
      <w:proofErr w:type="spellStart"/>
      <w:r w:rsidRPr="00DD7551">
        <w:rPr>
          <w:rFonts w:ascii="Times New Roman" w:hAnsi="Times New Roman" w:cs="Times New Roman"/>
          <w:b/>
          <w:sz w:val="28"/>
          <w:szCs w:val="28"/>
        </w:rPr>
        <w:t>Зельвенский</w:t>
      </w:r>
      <w:proofErr w:type="spellEnd"/>
      <w:r w:rsidRPr="00DD7551">
        <w:rPr>
          <w:rFonts w:ascii="Times New Roman" w:hAnsi="Times New Roman" w:cs="Times New Roman"/>
          <w:b/>
          <w:sz w:val="28"/>
          <w:szCs w:val="28"/>
        </w:rPr>
        <w:t xml:space="preserve"> район</w:t>
      </w:r>
      <w:r w:rsidRPr="00DD7551">
        <w:rPr>
          <w:rFonts w:ascii="Times New Roman" w:hAnsi="Times New Roman" w:cs="Times New Roman"/>
          <w:sz w:val="28"/>
          <w:szCs w:val="28"/>
        </w:rPr>
        <w:t>) процентов численности населения, в 2012 году этот показатель составлял 27 (</w:t>
      </w:r>
      <w:r w:rsidRPr="00DD7551">
        <w:rPr>
          <w:rFonts w:ascii="Times New Roman" w:hAnsi="Times New Roman" w:cs="Times New Roman"/>
          <w:b/>
          <w:sz w:val="28"/>
          <w:szCs w:val="28"/>
        </w:rPr>
        <w:t xml:space="preserve">37 % - </w:t>
      </w:r>
      <w:proofErr w:type="spellStart"/>
      <w:r w:rsidRPr="00DD7551">
        <w:rPr>
          <w:rFonts w:ascii="Times New Roman" w:hAnsi="Times New Roman" w:cs="Times New Roman"/>
          <w:b/>
          <w:sz w:val="28"/>
          <w:szCs w:val="28"/>
        </w:rPr>
        <w:t>Зельвенский</w:t>
      </w:r>
      <w:proofErr w:type="spellEnd"/>
      <w:r w:rsidRPr="00DD7551">
        <w:rPr>
          <w:rFonts w:ascii="Times New Roman" w:hAnsi="Times New Roman" w:cs="Times New Roman"/>
          <w:sz w:val="28"/>
          <w:szCs w:val="28"/>
        </w:rPr>
        <w:t xml:space="preserve"> </w:t>
      </w:r>
      <w:r w:rsidRPr="00DD7551">
        <w:rPr>
          <w:rFonts w:ascii="Times New Roman" w:hAnsi="Times New Roman" w:cs="Times New Roman"/>
          <w:b/>
          <w:sz w:val="28"/>
          <w:szCs w:val="28"/>
        </w:rPr>
        <w:t>район</w:t>
      </w:r>
      <w:r w:rsidRPr="00DD7551">
        <w:rPr>
          <w:rFonts w:ascii="Times New Roman" w:hAnsi="Times New Roman" w:cs="Times New Roman"/>
          <w:sz w:val="28"/>
          <w:szCs w:val="28"/>
        </w:rPr>
        <w:t xml:space="preserve">) процентов. </w:t>
      </w:r>
      <w:proofErr w:type="gramEnd"/>
    </w:p>
    <w:p w:rsidR="00787AAC" w:rsidRPr="00DD7551" w:rsidRDefault="00787AAC" w:rsidP="00787AAC">
      <w:pPr>
        <w:pStyle w:val="a3"/>
        <w:ind w:left="-284" w:firstLine="708"/>
        <w:jc w:val="both"/>
        <w:rPr>
          <w:rFonts w:ascii="Times New Roman" w:hAnsi="Times New Roman" w:cs="Times New Roman"/>
          <w:sz w:val="28"/>
          <w:szCs w:val="28"/>
        </w:rPr>
      </w:pPr>
      <w:r w:rsidRPr="00DD7551">
        <w:rPr>
          <w:rFonts w:ascii="Times New Roman" w:hAnsi="Times New Roman" w:cs="Times New Roman"/>
          <w:sz w:val="28"/>
          <w:szCs w:val="28"/>
        </w:rPr>
        <w:t>С февраля, мая, августа, ноября текущего года произведен перерасчет минимальных трудовых пенсий, социальных пенсий, а также надбавок и повышений к пенсиям, возрастных доплат в связи с изменением бюджета прожиточного минимума в среднем на душу населения. Согласно Указу Президента Республики Беларусь «О повышении пенсий» № 377 от 17 октября 2017 года с ноября 2017 года произведен перерасчет трудовых пенсий. В результате перерасчетов среднемесячный размер трудовой пенсии по возрасту за январь – ноябрь 2017 года по сравнению с аналогичным периодом 2016 года увеличился на 6 процентов и в ноябре составил 318,12 рублей(</w:t>
      </w:r>
      <w:r w:rsidRPr="00DD7551">
        <w:rPr>
          <w:rFonts w:ascii="Times New Roman" w:eastAsia="Times New Roman" w:hAnsi="Times New Roman" w:cs="Times New Roman"/>
          <w:b/>
          <w:sz w:val="28"/>
          <w:szCs w:val="28"/>
          <w:lang w:eastAsia="ru-RU"/>
        </w:rPr>
        <w:t xml:space="preserve">318,58 рублей – </w:t>
      </w:r>
      <w:proofErr w:type="spellStart"/>
      <w:r w:rsidRPr="00DD7551">
        <w:rPr>
          <w:rFonts w:ascii="Times New Roman" w:eastAsia="Times New Roman" w:hAnsi="Times New Roman" w:cs="Times New Roman"/>
          <w:b/>
          <w:sz w:val="28"/>
          <w:szCs w:val="28"/>
          <w:lang w:eastAsia="ru-RU"/>
        </w:rPr>
        <w:t>Зельвенский</w:t>
      </w:r>
      <w:proofErr w:type="spellEnd"/>
      <w:r w:rsidRPr="00DD7551">
        <w:rPr>
          <w:rFonts w:ascii="Times New Roman" w:eastAsia="Times New Roman" w:hAnsi="Times New Roman" w:cs="Times New Roman"/>
          <w:b/>
          <w:sz w:val="28"/>
          <w:szCs w:val="28"/>
          <w:lang w:eastAsia="ru-RU"/>
        </w:rPr>
        <w:t xml:space="preserve"> район)</w:t>
      </w:r>
      <w:r w:rsidRPr="00DD7551">
        <w:rPr>
          <w:rFonts w:ascii="Times New Roman" w:hAnsi="Times New Roman" w:cs="Times New Roman"/>
          <w:sz w:val="28"/>
          <w:szCs w:val="28"/>
        </w:rPr>
        <w:t>. На протяжении пяти лет область по уровню размеров пенсий занимает шестое место в республике.</w:t>
      </w:r>
    </w:p>
    <w:p w:rsidR="00787AAC" w:rsidRPr="00DD7551" w:rsidRDefault="00787AAC" w:rsidP="00787AAC">
      <w:pPr>
        <w:pStyle w:val="a3"/>
        <w:ind w:left="-284" w:firstLine="708"/>
        <w:jc w:val="both"/>
        <w:rPr>
          <w:rFonts w:ascii="Times New Roman" w:hAnsi="Times New Roman" w:cs="Times New Roman"/>
          <w:sz w:val="28"/>
          <w:szCs w:val="28"/>
        </w:rPr>
      </w:pPr>
    </w:p>
    <w:p w:rsidR="00787AAC" w:rsidRPr="00DD7551" w:rsidRDefault="00787AAC" w:rsidP="00787AAC">
      <w:pPr>
        <w:pStyle w:val="a3"/>
        <w:ind w:left="-284" w:firstLine="708"/>
        <w:rPr>
          <w:rFonts w:ascii="Times New Roman" w:hAnsi="Times New Roman" w:cs="Times New Roman"/>
          <w:b/>
          <w:sz w:val="28"/>
          <w:szCs w:val="28"/>
        </w:rPr>
      </w:pPr>
      <w:r w:rsidRPr="00DD7551">
        <w:rPr>
          <w:rFonts w:ascii="Times New Roman" w:hAnsi="Times New Roman" w:cs="Times New Roman"/>
          <w:b/>
          <w:sz w:val="28"/>
          <w:szCs w:val="28"/>
        </w:rPr>
        <w:t xml:space="preserve">Обеспечена полная и своевременная выплата пенсий. </w:t>
      </w:r>
    </w:p>
    <w:p w:rsidR="00787AAC" w:rsidRPr="00DD7551" w:rsidRDefault="00787AAC" w:rsidP="00787AAC">
      <w:pPr>
        <w:spacing w:after="0" w:line="240" w:lineRule="auto"/>
        <w:ind w:left="-284" w:firstLine="708"/>
        <w:jc w:val="both"/>
        <w:rPr>
          <w:rFonts w:ascii="Times New Roman" w:eastAsia="Calibri" w:hAnsi="Times New Roman" w:cs="Times New Roman"/>
          <w:b/>
          <w:sz w:val="28"/>
          <w:szCs w:val="28"/>
        </w:rPr>
      </w:pPr>
      <w:r w:rsidRPr="00DD7551">
        <w:rPr>
          <w:rFonts w:ascii="Times New Roman" w:eastAsia="Calibri" w:hAnsi="Times New Roman" w:cs="Times New Roman"/>
          <w:sz w:val="28"/>
          <w:szCs w:val="28"/>
        </w:rPr>
        <w:t xml:space="preserve">Пособия </w:t>
      </w:r>
      <w:proofErr w:type="gramStart"/>
      <w:r w:rsidRPr="00DD7551">
        <w:rPr>
          <w:rFonts w:ascii="Times New Roman" w:eastAsia="Calibri" w:hAnsi="Times New Roman" w:cs="Times New Roman"/>
          <w:sz w:val="28"/>
          <w:szCs w:val="28"/>
        </w:rPr>
        <w:t>семьям, воспитывающим детей Государством предусмотрены</w:t>
      </w:r>
      <w:proofErr w:type="gramEnd"/>
      <w:r w:rsidRPr="00DD7551">
        <w:rPr>
          <w:rFonts w:ascii="Times New Roman" w:eastAsia="Calibri" w:hAnsi="Times New Roman" w:cs="Times New Roman"/>
          <w:sz w:val="28"/>
          <w:szCs w:val="28"/>
        </w:rPr>
        <w:t xml:space="preserve"> социальные гарантии в виде ежемесячных пособий семьям, воспитывающим детей.</w:t>
      </w:r>
    </w:p>
    <w:p w:rsidR="00787AAC" w:rsidRPr="00DD7551" w:rsidRDefault="00787AAC" w:rsidP="00787AAC">
      <w:pPr>
        <w:spacing w:after="0" w:line="240" w:lineRule="auto"/>
        <w:ind w:left="-284" w:firstLine="708"/>
        <w:jc w:val="both"/>
        <w:rPr>
          <w:rFonts w:ascii="Times New Roman" w:eastAsia="Calibri" w:hAnsi="Times New Roman" w:cs="Times New Roman"/>
          <w:sz w:val="28"/>
          <w:szCs w:val="28"/>
        </w:rPr>
      </w:pPr>
      <w:r w:rsidRPr="00DD7551">
        <w:rPr>
          <w:rFonts w:ascii="Times New Roman" w:eastAsia="Calibri" w:hAnsi="Times New Roman" w:cs="Times New Roman"/>
          <w:sz w:val="28"/>
          <w:szCs w:val="28"/>
        </w:rPr>
        <w:t>В органах по труду, занятости и социальной защите Гродненской области в 2012 году выплата производилась 9 298 (</w:t>
      </w:r>
      <w:r w:rsidRPr="00DD7551">
        <w:rPr>
          <w:rFonts w:ascii="Times New Roman" w:eastAsia="Calibri" w:hAnsi="Times New Roman" w:cs="Times New Roman"/>
          <w:b/>
          <w:sz w:val="28"/>
          <w:szCs w:val="28"/>
        </w:rPr>
        <w:t>88 –  по району</w:t>
      </w:r>
      <w:r w:rsidRPr="00DD7551">
        <w:rPr>
          <w:rFonts w:ascii="Times New Roman" w:eastAsia="Calibri" w:hAnsi="Times New Roman" w:cs="Times New Roman"/>
          <w:sz w:val="28"/>
          <w:szCs w:val="28"/>
        </w:rPr>
        <w:t xml:space="preserve">) </w:t>
      </w:r>
      <w:proofErr w:type="gramStart"/>
      <w:r w:rsidRPr="00DD7551">
        <w:rPr>
          <w:rFonts w:ascii="Times New Roman" w:eastAsia="Calibri" w:hAnsi="Times New Roman" w:cs="Times New Roman"/>
          <w:sz w:val="28"/>
          <w:szCs w:val="28"/>
        </w:rPr>
        <w:t>семьям</w:t>
      </w:r>
      <w:proofErr w:type="gramEnd"/>
      <w:r w:rsidRPr="00DD7551">
        <w:rPr>
          <w:rFonts w:ascii="Times New Roman" w:eastAsia="Calibri" w:hAnsi="Times New Roman" w:cs="Times New Roman"/>
          <w:sz w:val="28"/>
          <w:szCs w:val="28"/>
        </w:rPr>
        <w:t xml:space="preserve"> воспитывающим детей, на 1 октября 2017 года - 13 548 (</w:t>
      </w:r>
      <w:r w:rsidRPr="00DD7551">
        <w:rPr>
          <w:rFonts w:ascii="Times New Roman" w:eastAsia="Calibri" w:hAnsi="Times New Roman" w:cs="Times New Roman"/>
          <w:b/>
          <w:sz w:val="28"/>
          <w:szCs w:val="28"/>
        </w:rPr>
        <w:t>103 – по району</w:t>
      </w:r>
      <w:r w:rsidRPr="00DD7551">
        <w:rPr>
          <w:rFonts w:ascii="Times New Roman" w:eastAsia="Calibri" w:hAnsi="Times New Roman" w:cs="Times New Roman"/>
          <w:sz w:val="28"/>
          <w:szCs w:val="28"/>
        </w:rPr>
        <w:t xml:space="preserve">) пособий, из них: </w:t>
      </w:r>
    </w:p>
    <w:p w:rsidR="00787AAC" w:rsidRPr="00DD7551" w:rsidRDefault="00787AAC" w:rsidP="00787AAC">
      <w:pPr>
        <w:spacing w:after="0" w:line="240" w:lineRule="auto"/>
        <w:ind w:left="-284" w:firstLine="708"/>
        <w:jc w:val="both"/>
        <w:rPr>
          <w:rFonts w:ascii="Times New Roman" w:eastAsia="Calibri" w:hAnsi="Times New Roman" w:cs="Times New Roman"/>
          <w:sz w:val="28"/>
          <w:szCs w:val="28"/>
        </w:rPr>
      </w:pPr>
      <w:proofErr w:type="gramStart"/>
      <w:r w:rsidRPr="00DD7551">
        <w:rPr>
          <w:rFonts w:ascii="Times New Roman" w:eastAsia="Calibri" w:hAnsi="Times New Roman" w:cs="Times New Roman"/>
          <w:sz w:val="28"/>
          <w:szCs w:val="28"/>
        </w:rPr>
        <w:t>7 050 (</w:t>
      </w:r>
      <w:r w:rsidRPr="00DD7551">
        <w:rPr>
          <w:rFonts w:ascii="Times New Roman" w:eastAsia="Calibri" w:hAnsi="Times New Roman" w:cs="Times New Roman"/>
          <w:b/>
          <w:sz w:val="28"/>
          <w:szCs w:val="28"/>
        </w:rPr>
        <w:t>53 – по району</w:t>
      </w:r>
      <w:r w:rsidRPr="00DD7551">
        <w:rPr>
          <w:rFonts w:ascii="Times New Roman" w:eastAsia="Calibri" w:hAnsi="Times New Roman" w:cs="Times New Roman"/>
          <w:sz w:val="28"/>
          <w:szCs w:val="28"/>
        </w:rPr>
        <w:t>) – пособий по уходу за ребенком в возрасте до 3 лет, 1 110  (</w:t>
      </w:r>
      <w:r w:rsidRPr="00DD7551">
        <w:rPr>
          <w:rFonts w:ascii="Times New Roman" w:eastAsia="Calibri" w:hAnsi="Times New Roman" w:cs="Times New Roman"/>
          <w:b/>
          <w:sz w:val="28"/>
          <w:szCs w:val="28"/>
        </w:rPr>
        <w:t>5 – по району</w:t>
      </w:r>
      <w:r w:rsidRPr="00DD7551">
        <w:rPr>
          <w:rFonts w:ascii="Times New Roman" w:eastAsia="Calibri" w:hAnsi="Times New Roman" w:cs="Times New Roman"/>
          <w:sz w:val="28"/>
          <w:szCs w:val="28"/>
        </w:rPr>
        <w:t>) – пособий на детей старше 3 лет из отдельных категорий семей, 3 402 (</w:t>
      </w:r>
      <w:r w:rsidRPr="00DD7551">
        <w:rPr>
          <w:rFonts w:ascii="Times New Roman" w:eastAsia="Calibri" w:hAnsi="Times New Roman" w:cs="Times New Roman"/>
          <w:b/>
          <w:sz w:val="28"/>
          <w:szCs w:val="28"/>
        </w:rPr>
        <w:t>24 – по району</w:t>
      </w:r>
      <w:r w:rsidRPr="00DD7551">
        <w:rPr>
          <w:rFonts w:ascii="Times New Roman" w:eastAsia="Calibri" w:hAnsi="Times New Roman" w:cs="Times New Roman"/>
          <w:sz w:val="28"/>
          <w:szCs w:val="28"/>
        </w:rPr>
        <w:t>) – пособий на детей в возрасте от 3 до 18 лет в период воспитания ребенка в возрасте до 3 лет, 1 986 (</w:t>
      </w:r>
      <w:r w:rsidRPr="00DD7551">
        <w:rPr>
          <w:rFonts w:ascii="Times New Roman" w:eastAsia="Calibri" w:hAnsi="Times New Roman" w:cs="Times New Roman"/>
          <w:b/>
          <w:sz w:val="28"/>
          <w:szCs w:val="28"/>
        </w:rPr>
        <w:t>21 – по</w:t>
      </w:r>
      <w:r w:rsidRPr="00DD7551">
        <w:rPr>
          <w:rFonts w:ascii="Times New Roman" w:eastAsia="Calibri" w:hAnsi="Times New Roman" w:cs="Times New Roman"/>
          <w:sz w:val="28"/>
          <w:szCs w:val="28"/>
        </w:rPr>
        <w:t xml:space="preserve"> </w:t>
      </w:r>
      <w:r w:rsidRPr="00DD7551">
        <w:rPr>
          <w:rFonts w:ascii="Times New Roman" w:eastAsia="Calibri" w:hAnsi="Times New Roman" w:cs="Times New Roman"/>
          <w:b/>
          <w:sz w:val="28"/>
          <w:szCs w:val="28"/>
        </w:rPr>
        <w:t>району)</w:t>
      </w:r>
      <w:r w:rsidRPr="00DD7551">
        <w:rPr>
          <w:rFonts w:ascii="Times New Roman" w:eastAsia="Calibri" w:hAnsi="Times New Roman" w:cs="Times New Roman"/>
          <w:sz w:val="28"/>
          <w:szCs w:val="28"/>
        </w:rPr>
        <w:t xml:space="preserve"> – пособий</w:t>
      </w:r>
      <w:proofErr w:type="gramEnd"/>
      <w:r w:rsidRPr="00DD7551">
        <w:rPr>
          <w:rFonts w:ascii="Times New Roman" w:eastAsia="Calibri" w:hAnsi="Times New Roman" w:cs="Times New Roman"/>
          <w:sz w:val="28"/>
          <w:szCs w:val="28"/>
        </w:rPr>
        <w:t xml:space="preserve"> по уходу за ребенком-инвалидом в возрасте до 18 лет.</w:t>
      </w:r>
    </w:p>
    <w:p w:rsidR="00787AAC" w:rsidRPr="00DD7551" w:rsidRDefault="00787AAC" w:rsidP="00787AAC">
      <w:pPr>
        <w:pStyle w:val="a3"/>
        <w:rPr>
          <w:rFonts w:ascii="Times New Roman" w:hAnsi="Times New Roman" w:cs="Times New Roman"/>
          <w:b/>
          <w:sz w:val="28"/>
          <w:szCs w:val="28"/>
        </w:rPr>
      </w:pPr>
    </w:p>
    <w:p w:rsidR="00787AAC" w:rsidRPr="00DD7551" w:rsidRDefault="00787AAC" w:rsidP="00787AAC">
      <w:pPr>
        <w:pStyle w:val="a3"/>
        <w:ind w:left="-284"/>
        <w:jc w:val="center"/>
        <w:rPr>
          <w:rFonts w:ascii="Times New Roman" w:hAnsi="Times New Roman" w:cs="Times New Roman"/>
          <w:b/>
          <w:sz w:val="28"/>
          <w:szCs w:val="28"/>
        </w:rPr>
      </w:pPr>
      <w:r w:rsidRPr="00DD7551">
        <w:rPr>
          <w:rFonts w:ascii="Times New Roman" w:hAnsi="Times New Roman" w:cs="Times New Roman"/>
          <w:b/>
          <w:sz w:val="28"/>
          <w:szCs w:val="28"/>
        </w:rPr>
        <w:t>Семейный капитал</w:t>
      </w:r>
    </w:p>
    <w:p w:rsidR="00787AAC" w:rsidRPr="00DD7551" w:rsidRDefault="00787AAC" w:rsidP="00787AAC">
      <w:pPr>
        <w:spacing w:after="0" w:line="240" w:lineRule="auto"/>
        <w:ind w:left="-284" w:firstLine="708"/>
        <w:jc w:val="both"/>
        <w:rPr>
          <w:rFonts w:ascii="Times New Roman" w:eastAsia="Calibri" w:hAnsi="Times New Roman" w:cs="Times New Roman"/>
          <w:sz w:val="28"/>
          <w:szCs w:val="28"/>
        </w:rPr>
      </w:pPr>
      <w:proofErr w:type="gramStart"/>
      <w:r w:rsidRPr="00DD7551">
        <w:rPr>
          <w:rFonts w:ascii="Times New Roman" w:eastAsia="Calibri" w:hAnsi="Times New Roman" w:cs="Times New Roman"/>
          <w:sz w:val="28"/>
          <w:szCs w:val="28"/>
        </w:rPr>
        <w:t xml:space="preserve">В соответствии с Указом Президента № 572 гражданам, постоянно проживающим в Республике Беларусь, с 1 января 2015 года введена мера долгосрочной поддержки многодетных семей – семейный капитал в размере 10 000 долларов США при рождении, усыновлении (удочерении) третьего или последующих детей, которая рассчитана на пять лет – с января 2015 года по 31 декабря 2019 года. </w:t>
      </w:r>
      <w:proofErr w:type="gramEnd"/>
    </w:p>
    <w:p w:rsidR="00787AAC" w:rsidRPr="00DD7551" w:rsidRDefault="00787AAC" w:rsidP="00787AAC">
      <w:pPr>
        <w:spacing w:after="0" w:line="240" w:lineRule="auto"/>
        <w:ind w:left="-284" w:firstLine="708"/>
        <w:jc w:val="both"/>
        <w:rPr>
          <w:rFonts w:ascii="Times New Roman" w:eastAsia="Calibri" w:hAnsi="Times New Roman" w:cs="Times New Roman"/>
          <w:b/>
          <w:sz w:val="28"/>
          <w:szCs w:val="28"/>
        </w:rPr>
      </w:pPr>
      <w:r w:rsidRPr="00DD7551">
        <w:rPr>
          <w:rFonts w:ascii="Times New Roman" w:eastAsia="Calibri" w:hAnsi="Times New Roman" w:cs="Times New Roman"/>
          <w:sz w:val="28"/>
          <w:szCs w:val="28"/>
        </w:rPr>
        <w:t xml:space="preserve">За 11 месяцев 2017 года местными исполнительными и распорядительными органами Гродненской области принято 1 792 решения о назначении семейного капитала, в 2016 – 1695, 2015 – 1379. </w:t>
      </w:r>
      <w:r w:rsidRPr="00DD7551">
        <w:rPr>
          <w:rFonts w:ascii="Times New Roman" w:eastAsia="Calibri" w:hAnsi="Times New Roman" w:cs="Times New Roman"/>
          <w:b/>
          <w:sz w:val="28"/>
          <w:szCs w:val="28"/>
        </w:rPr>
        <w:t xml:space="preserve">За 2017 год </w:t>
      </w:r>
      <w:proofErr w:type="spellStart"/>
      <w:r w:rsidRPr="00DD7551">
        <w:rPr>
          <w:rFonts w:ascii="Times New Roman" w:eastAsia="Calibri" w:hAnsi="Times New Roman" w:cs="Times New Roman"/>
          <w:b/>
          <w:sz w:val="28"/>
          <w:szCs w:val="28"/>
        </w:rPr>
        <w:t>Зельвенским</w:t>
      </w:r>
      <w:proofErr w:type="spellEnd"/>
      <w:r w:rsidRPr="00DD7551">
        <w:rPr>
          <w:rFonts w:ascii="Times New Roman" w:eastAsia="Calibri" w:hAnsi="Times New Roman" w:cs="Times New Roman"/>
          <w:b/>
          <w:sz w:val="28"/>
          <w:szCs w:val="28"/>
        </w:rPr>
        <w:t xml:space="preserve"> райисполкомом принято 26 решений о назначении семейного капитала, в 2016 году – 34, 2015 – 25.</w:t>
      </w:r>
    </w:p>
    <w:p w:rsidR="00787AAC" w:rsidRPr="00DD7551" w:rsidRDefault="00787AAC" w:rsidP="00787AAC">
      <w:pPr>
        <w:spacing w:after="0" w:line="240" w:lineRule="auto"/>
        <w:ind w:left="-284"/>
        <w:jc w:val="both"/>
        <w:rPr>
          <w:rFonts w:ascii="Times New Roman" w:eastAsia="Calibri" w:hAnsi="Times New Roman" w:cs="Times New Roman"/>
          <w:sz w:val="28"/>
          <w:szCs w:val="28"/>
        </w:rPr>
      </w:pPr>
      <w:r w:rsidRPr="00DD7551">
        <w:rPr>
          <w:rFonts w:ascii="Times New Roman" w:eastAsia="Calibri" w:hAnsi="Times New Roman" w:cs="Times New Roman"/>
          <w:sz w:val="28"/>
          <w:szCs w:val="28"/>
        </w:rPr>
        <w:t xml:space="preserve">Всего на 1 декабря 2017 г. в ОАО «АСБ </w:t>
      </w:r>
      <w:proofErr w:type="spellStart"/>
      <w:r w:rsidRPr="00DD7551">
        <w:rPr>
          <w:rFonts w:ascii="Times New Roman" w:eastAsia="Calibri" w:hAnsi="Times New Roman" w:cs="Times New Roman"/>
          <w:sz w:val="28"/>
          <w:szCs w:val="28"/>
        </w:rPr>
        <w:t>Беларусбанк</w:t>
      </w:r>
      <w:proofErr w:type="gramStart"/>
      <w:r w:rsidRPr="00DD7551">
        <w:rPr>
          <w:rFonts w:ascii="Times New Roman" w:eastAsia="Calibri" w:hAnsi="Times New Roman" w:cs="Times New Roman"/>
          <w:sz w:val="28"/>
          <w:szCs w:val="28"/>
        </w:rPr>
        <w:t>»а</w:t>
      </w:r>
      <w:proofErr w:type="spellEnd"/>
      <w:proofErr w:type="gramEnd"/>
      <w:r w:rsidRPr="00DD7551">
        <w:rPr>
          <w:rFonts w:ascii="Times New Roman" w:eastAsia="Calibri" w:hAnsi="Times New Roman" w:cs="Times New Roman"/>
          <w:sz w:val="28"/>
          <w:szCs w:val="28"/>
        </w:rPr>
        <w:t xml:space="preserve"> открыто 5449 депозитных счетов на общую сумму 54 миллиона 490 тысяч долларов США.</w:t>
      </w:r>
    </w:p>
    <w:p w:rsidR="00787AAC" w:rsidRPr="00DD7551" w:rsidRDefault="00787AAC" w:rsidP="00787AAC">
      <w:pPr>
        <w:spacing w:after="0" w:line="240" w:lineRule="auto"/>
        <w:ind w:left="-284"/>
        <w:jc w:val="both"/>
        <w:rPr>
          <w:rFonts w:ascii="Times New Roman" w:eastAsia="Calibri" w:hAnsi="Times New Roman" w:cs="Times New Roman"/>
          <w:b/>
          <w:sz w:val="28"/>
          <w:szCs w:val="28"/>
        </w:rPr>
      </w:pPr>
      <w:r w:rsidRPr="00DD7551">
        <w:rPr>
          <w:rFonts w:ascii="Times New Roman" w:eastAsia="Calibri" w:hAnsi="Times New Roman" w:cs="Times New Roman"/>
          <w:b/>
          <w:sz w:val="28"/>
          <w:szCs w:val="28"/>
        </w:rPr>
        <w:t xml:space="preserve">Зельва - Всего на 01.01.2018 г. в ОАО «АСБ </w:t>
      </w:r>
      <w:proofErr w:type="spellStart"/>
      <w:r w:rsidRPr="00DD7551">
        <w:rPr>
          <w:rFonts w:ascii="Times New Roman" w:eastAsia="Calibri" w:hAnsi="Times New Roman" w:cs="Times New Roman"/>
          <w:b/>
          <w:sz w:val="28"/>
          <w:szCs w:val="28"/>
        </w:rPr>
        <w:t>Беларусбанк</w:t>
      </w:r>
      <w:proofErr w:type="spellEnd"/>
      <w:r w:rsidRPr="00DD7551">
        <w:rPr>
          <w:rFonts w:ascii="Times New Roman" w:eastAsia="Calibri" w:hAnsi="Times New Roman" w:cs="Times New Roman"/>
          <w:b/>
          <w:sz w:val="28"/>
          <w:szCs w:val="28"/>
        </w:rPr>
        <w:t>» открыто 85 депозитных счетов на общую сумму 850 тысяч долларов США.</w:t>
      </w:r>
    </w:p>
    <w:p w:rsidR="00787AAC" w:rsidRPr="00DD7551" w:rsidRDefault="00787AAC" w:rsidP="00787AAC">
      <w:pPr>
        <w:pStyle w:val="a3"/>
        <w:rPr>
          <w:rFonts w:ascii="Times New Roman" w:hAnsi="Times New Roman" w:cs="Times New Roman"/>
          <w:b/>
          <w:sz w:val="28"/>
          <w:szCs w:val="28"/>
        </w:rPr>
      </w:pPr>
    </w:p>
    <w:p w:rsidR="00787AAC" w:rsidRPr="00DD7551" w:rsidRDefault="00787AAC" w:rsidP="00787AAC">
      <w:pPr>
        <w:pStyle w:val="a3"/>
        <w:ind w:left="-284"/>
        <w:jc w:val="center"/>
        <w:rPr>
          <w:rFonts w:ascii="Times New Roman" w:hAnsi="Times New Roman" w:cs="Times New Roman"/>
          <w:sz w:val="28"/>
          <w:szCs w:val="28"/>
        </w:rPr>
      </w:pPr>
      <w:r w:rsidRPr="00DD7551">
        <w:rPr>
          <w:rFonts w:ascii="Times New Roman" w:hAnsi="Times New Roman" w:cs="Times New Roman"/>
          <w:b/>
          <w:sz w:val="28"/>
          <w:szCs w:val="28"/>
        </w:rPr>
        <w:t>Государственная адресная социальная поддержка</w:t>
      </w:r>
    </w:p>
    <w:p w:rsidR="00787AAC" w:rsidRPr="00DD7551" w:rsidRDefault="00787AAC" w:rsidP="00787AAC">
      <w:pPr>
        <w:spacing w:after="0" w:line="240" w:lineRule="auto"/>
        <w:ind w:left="-284" w:firstLine="708"/>
        <w:jc w:val="both"/>
        <w:rPr>
          <w:rFonts w:ascii="Times New Roman" w:eastAsia="Calibri" w:hAnsi="Times New Roman" w:cs="Times New Roman"/>
          <w:b/>
          <w:sz w:val="28"/>
          <w:szCs w:val="28"/>
        </w:rPr>
      </w:pPr>
      <w:r w:rsidRPr="00DD7551">
        <w:rPr>
          <w:rFonts w:ascii="Times New Roman" w:eastAsia="Calibri" w:hAnsi="Times New Roman" w:cs="Times New Roman"/>
          <w:sz w:val="28"/>
          <w:szCs w:val="28"/>
        </w:rPr>
        <w:t xml:space="preserve">В рамках реализации Указа Президента Республики Беларусь от 19 января 2012 г. № 41 осуществляется  работа по предоставлению малообеспеченным и находящимся в трудной жизненной ситуации семьям (гражданам) государственной адресной социальной помощи (далее – ГАСП). С 2012 по 2016 годы отмечено увеличение охвата граждан дополнительной социальной поддержкой через систему ГАСП на 18 %, объемов  предоставленной помощи в 2 раза. </w:t>
      </w:r>
      <w:r w:rsidRPr="00DD7551">
        <w:rPr>
          <w:rFonts w:ascii="Times New Roman" w:eastAsia="Calibri" w:hAnsi="Times New Roman" w:cs="Times New Roman"/>
          <w:b/>
          <w:sz w:val="28"/>
          <w:szCs w:val="28"/>
        </w:rPr>
        <w:t xml:space="preserve">С 2012 по 2016 годы. В </w:t>
      </w:r>
      <w:proofErr w:type="spellStart"/>
      <w:r w:rsidRPr="00DD7551">
        <w:rPr>
          <w:rFonts w:ascii="Times New Roman" w:eastAsia="Calibri" w:hAnsi="Times New Roman" w:cs="Times New Roman"/>
          <w:b/>
          <w:sz w:val="28"/>
          <w:szCs w:val="28"/>
        </w:rPr>
        <w:t>Зельвенском</w:t>
      </w:r>
      <w:proofErr w:type="spellEnd"/>
      <w:r w:rsidRPr="00DD7551">
        <w:rPr>
          <w:rFonts w:ascii="Times New Roman" w:eastAsia="Calibri" w:hAnsi="Times New Roman" w:cs="Times New Roman"/>
          <w:b/>
          <w:sz w:val="28"/>
          <w:szCs w:val="28"/>
        </w:rPr>
        <w:t xml:space="preserve"> районе отмечено уменьшение числа </w:t>
      </w:r>
      <w:proofErr w:type="gramStart"/>
      <w:r w:rsidRPr="00DD7551">
        <w:rPr>
          <w:rFonts w:ascii="Times New Roman" w:eastAsia="Calibri" w:hAnsi="Times New Roman" w:cs="Times New Roman"/>
          <w:b/>
          <w:sz w:val="28"/>
          <w:szCs w:val="28"/>
        </w:rPr>
        <w:t>нуждающихся</w:t>
      </w:r>
      <w:proofErr w:type="gramEnd"/>
      <w:r w:rsidRPr="00DD7551">
        <w:rPr>
          <w:rFonts w:ascii="Times New Roman" w:eastAsia="Calibri" w:hAnsi="Times New Roman" w:cs="Times New Roman"/>
          <w:b/>
          <w:sz w:val="28"/>
          <w:szCs w:val="28"/>
        </w:rPr>
        <w:t xml:space="preserve"> в социальной поддержке через систему ГАСП на 10,6%.</w:t>
      </w:r>
    </w:p>
    <w:p w:rsidR="00787AAC" w:rsidRPr="003C6B57" w:rsidRDefault="00787AAC" w:rsidP="00A01A5B">
      <w:pPr>
        <w:pStyle w:val="a3"/>
        <w:ind w:firstLine="708"/>
        <w:jc w:val="both"/>
        <w:rPr>
          <w:rFonts w:ascii="Times New Roman" w:hAnsi="Times New Roman" w:cs="Times New Roman"/>
          <w:sz w:val="30"/>
          <w:szCs w:val="30"/>
        </w:rPr>
      </w:pP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Социальное обслуживание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районах области функционирует 19 территориальных центров социального обслуживания населения (далее – Центры), 14 домов-интернатов, предоставляющих широкий спектр социальных услуг.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развития форм социального обслуживания, минимизации бюджетных расходов с 2012 по 2017 годы в области открыты: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4 отделения круглосуточного пребывания для граждан пожилого возраста и инвалидов (в 2012 году в  </w:t>
      </w:r>
      <w:proofErr w:type="spellStart"/>
      <w:r w:rsidRPr="003C6B57">
        <w:rPr>
          <w:rFonts w:ascii="Times New Roman" w:hAnsi="Times New Roman" w:cs="Times New Roman"/>
          <w:sz w:val="30"/>
          <w:szCs w:val="30"/>
        </w:rPr>
        <w:t>Берестовицком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Зельвенском</w:t>
      </w:r>
      <w:proofErr w:type="spellEnd"/>
      <w:r w:rsidRPr="003C6B57">
        <w:rPr>
          <w:rFonts w:ascii="Times New Roman" w:hAnsi="Times New Roman" w:cs="Times New Roman"/>
          <w:sz w:val="30"/>
          <w:szCs w:val="30"/>
        </w:rPr>
        <w:t xml:space="preserve"> и Щучинском Центрах, в 2017 году – в </w:t>
      </w:r>
      <w:proofErr w:type="spellStart"/>
      <w:r w:rsidRPr="003C6B57">
        <w:rPr>
          <w:rFonts w:ascii="Times New Roman" w:hAnsi="Times New Roman" w:cs="Times New Roman"/>
          <w:sz w:val="30"/>
          <w:szCs w:val="30"/>
        </w:rPr>
        <w:t>Ивьевском</w:t>
      </w:r>
      <w:proofErr w:type="spellEnd"/>
      <w:r w:rsidRPr="003C6B57">
        <w:rPr>
          <w:rFonts w:ascii="Times New Roman" w:hAnsi="Times New Roman" w:cs="Times New Roman"/>
          <w:sz w:val="30"/>
          <w:szCs w:val="30"/>
        </w:rPr>
        <w:t xml:space="preserve"> Центре) (всего отделений 10);</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18 отделений дневного пребывания для граждан пожилого возраста (такие отделения функционируют в каждом районе);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3 отделения сопровождаемого проживания в Ленинском и Октябрьском </w:t>
      </w:r>
      <w:proofErr w:type="spellStart"/>
      <w:r w:rsidRPr="003C6B57">
        <w:rPr>
          <w:rFonts w:ascii="Times New Roman" w:hAnsi="Times New Roman" w:cs="Times New Roman"/>
          <w:sz w:val="30"/>
          <w:szCs w:val="30"/>
        </w:rPr>
        <w:t>г.Гродно</w:t>
      </w:r>
      <w:proofErr w:type="spellEnd"/>
      <w:r w:rsidRPr="003C6B57">
        <w:rPr>
          <w:rFonts w:ascii="Times New Roman" w:hAnsi="Times New Roman" w:cs="Times New Roman"/>
          <w:sz w:val="30"/>
          <w:szCs w:val="30"/>
        </w:rPr>
        <w:t xml:space="preserve"> (2014) и Слонимском Центрах (2015);</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2 филиала Центров в </w:t>
      </w:r>
      <w:proofErr w:type="spellStart"/>
      <w:r w:rsidRPr="003C6B57">
        <w:rPr>
          <w:rFonts w:ascii="Times New Roman" w:hAnsi="Times New Roman" w:cs="Times New Roman"/>
          <w:sz w:val="30"/>
          <w:szCs w:val="30"/>
        </w:rPr>
        <w:t>агрогородкахБрольники</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Лылойти</w:t>
      </w:r>
      <w:proofErr w:type="spellEnd"/>
      <w:r w:rsidRPr="003C6B57">
        <w:rPr>
          <w:rFonts w:ascii="Times New Roman" w:hAnsi="Times New Roman" w:cs="Times New Roman"/>
          <w:sz w:val="30"/>
          <w:szCs w:val="30"/>
        </w:rPr>
        <w:t xml:space="preserve"> в </w:t>
      </w:r>
      <w:proofErr w:type="spellStart"/>
      <w:r w:rsidRPr="003C6B57">
        <w:rPr>
          <w:rFonts w:ascii="Times New Roman" w:hAnsi="Times New Roman" w:cs="Times New Roman"/>
          <w:sz w:val="30"/>
          <w:szCs w:val="30"/>
        </w:rPr>
        <w:t>Новогрудском</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районах (2017 год) с предоставлением услуг совместного самостоятельного проживания для граждан пожилого возраста;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 2011 года в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районе открыт первый в области и Республике дом совместного самостоятельного проживания. С 2012 по 2017 </w:t>
      </w:r>
      <w:r w:rsidRPr="003C6B57">
        <w:rPr>
          <w:rFonts w:ascii="Times New Roman" w:hAnsi="Times New Roman" w:cs="Times New Roman"/>
          <w:sz w:val="30"/>
          <w:szCs w:val="30"/>
        </w:rPr>
        <w:lastRenderedPageBreak/>
        <w:t xml:space="preserve">годы открыты еще 16 таких домов в  </w:t>
      </w:r>
      <w:proofErr w:type="spellStart"/>
      <w:r w:rsidRPr="003C6B57">
        <w:rPr>
          <w:rFonts w:ascii="Times New Roman" w:hAnsi="Times New Roman" w:cs="Times New Roman"/>
          <w:sz w:val="30"/>
          <w:szCs w:val="30"/>
        </w:rPr>
        <w:t>Вороновском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Дятловском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Ивьевском</w:t>
      </w:r>
      <w:proofErr w:type="spellEnd"/>
      <w:r w:rsidRPr="003C6B57">
        <w:rPr>
          <w:rFonts w:ascii="Times New Roman" w:hAnsi="Times New Roman" w:cs="Times New Roman"/>
          <w:sz w:val="30"/>
          <w:szCs w:val="30"/>
        </w:rPr>
        <w:t xml:space="preserve">, Лидском, Слонимском (2013), Волковысском, </w:t>
      </w:r>
      <w:proofErr w:type="spellStart"/>
      <w:r w:rsidRPr="003C6B57">
        <w:rPr>
          <w:rFonts w:ascii="Times New Roman" w:hAnsi="Times New Roman" w:cs="Times New Roman"/>
          <w:sz w:val="30"/>
          <w:szCs w:val="30"/>
        </w:rPr>
        <w:t>Зельвенском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Новогрудском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Свислочском</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Сморгонском</w:t>
      </w:r>
      <w:proofErr w:type="spellEnd"/>
      <w:r w:rsidRPr="003C6B57">
        <w:rPr>
          <w:rFonts w:ascii="Times New Roman" w:hAnsi="Times New Roman" w:cs="Times New Roman"/>
          <w:sz w:val="30"/>
          <w:szCs w:val="30"/>
        </w:rPr>
        <w:t xml:space="preserve"> (2014), Мостовском и Щучинском (2015), </w:t>
      </w:r>
      <w:proofErr w:type="spellStart"/>
      <w:r w:rsidRPr="003C6B57">
        <w:rPr>
          <w:rFonts w:ascii="Times New Roman" w:hAnsi="Times New Roman" w:cs="Times New Roman"/>
          <w:sz w:val="30"/>
          <w:szCs w:val="30"/>
        </w:rPr>
        <w:t>Кореличском</w:t>
      </w:r>
      <w:proofErr w:type="spellEnd"/>
      <w:r w:rsidRPr="003C6B57">
        <w:rPr>
          <w:rFonts w:ascii="Times New Roman" w:hAnsi="Times New Roman" w:cs="Times New Roman"/>
          <w:sz w:val="30"/>
          <w:szCs w:val="30"/>
        </w:rPr>
        <w:t xml:space="preserve"> и </w:t>
      </w:r>
      <w:proofErr w:type="spellStart"/>
      <w:r w:rsidRPr="003C6B57">
        <w:rPr>
          <w:rFonts w:ascii="Times New Roman" w:hAnsi="Times New Roman" w:cs="Times New Roman"/>
          <w:sz w:val="30"/>
          <w:szCs w:val="30"/>
        </w:rPr>
        <w:t>Ошмянском</w:t>
      </w:r>
      <w:proofErr w:type="spellEnd"/>
      <w:r w:rsidRPr="003C6B57">
        <w:rPr>
          <w:rFonts w:ascii="Times New Roman" w:hAnsi="Times New Roman" w:cs="Times New Roman"/>
          <w:sz w:val="30"/>
          <w:szCs w:val="30"/>
        </w:rPr>
        <w:t xml:space="preserve"> (2016), Лидском и Гродненском (2017) районах;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центр Досуга пожилых граждан в </w:t>
      </w:r>
      <w:proofErr w:type="spellStart"/>
      <w:r w:rsidRPr="003C6B57">
        <w:rPr>
          <w:rFonts w:ascii="Times New Roman" w:hAnsi="Times New Roman" w:cs="Times New Roman"/>
          <w:sz w:val="30"/>
          <w:szCs w:val="30"/>
        </w:rPr>
        <w:t>агрогородкеВертилишки</w:t>
      </w:r>
      <w:proofErr w:type="spellEnd"/>
      <w:r w:rsidRPr="003C6B57">
        <w:rPr>
          <w:rFonts w:ascii="Times New Roman" w:hAnsi="Times New Roman" w:cs="Times New Roman"/>
          <w:sz w:val="30"/>
          <w:szCs w:val="30"/>
        </w:rPr>
        <w:t xml:space="preserve"> Гродненского района (2017).</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медико-социальной, трудовой реабилитации инвалидов в домах-интернатах с 2013 года внедрены и действуют новые формы обслуживания:</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краткосрочного проживания граждан (до 1 месяца);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социальной передышки для семей, воспитывающих детей-инвалидов, (до 28 дней);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отделения повышенной комфортности (в 5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отделения сопровождаемого проживания (в 7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обеспечения безопасного проживания пожилых граждан получило развитие менее затратных форм предоставления социальных услуг в «домах зимовки» и «домах взаимопомощи и социальной поддержки», «приемных» и «гостевых» семьях. С 2012 года их количество увеличилось с 26 до 151.</w:t>
      </w:r>
    </w:p>
    <w:p w:rsid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2013 году Гродненская область первой в Республике внедрила государственный социальный заказ на оказание социальных услуг негосударственными некоммерческими организациями (в Ленинском </w:t>
      </w:r>
      <w:proofErr w:type="spellStart"/>
      <w:r w:rsidRPr="003C6B57">
        <w:rPr>
          <w:rFonts w:ascii="Times New Roman" w:hAnsi="Times New Roman" w:cs="Times New Roman"/>
          <w:sz w:val="30"/>
          <w:szCs w:val="30"/>
        </w:rPr>
        <w:t>г.Гродно</w:t>
      </w:r>
      <w:proofErr w:type="spellEnd"/>
      <w:r w:rsidRPr="003C6B57">
        <w:rPr>
          <w:rFonts w:ascii="Times New Roman" w:hAnsi="Times New Roman" w:cs="Times New Roman"/>
          <w:sz w:val="30"/>
          <w:szCs w:val="30"/>
        </w:rPr>
        <w:t xml:space="preserve"> районе – социально-медицинские услуги БОКК). </w:t>
      </w:r>
      <w:proofErr w:type="gramStart"/>
      <w:r w:rsidRPr="003C6B57">
        <w:rPr>
          <w:rFonts w:ascii="Times New Roman" w:hAnsi="Times New Roman" w:cs="Times New Roman"/>
          <w:sz w:val="30"/>
          <w:szCs w:val="30"/>
        </w:rPr>
        <w:t>С 2014 года расширена география государственного социального заказа (с 8 до 13 районов) и виды услуг (кроме социально-медицинских оказываются также социально-реабилитационные услуги инвалидам по зрению).</w:t>
      </w:r>
      <w:proofErr w:type="gramEnd"/>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 xml:space="preserve">В районе функционирует государственное </w:t>
      </w:r>
      <w:proofErr w:type="spellStart"/>
      <w:r w:rsidRPr="00787AAC">
        <w:rPr>
          <w:rFonts w:ascii="Times New Roman" w:eastAsia="Times New Roman" w:hAnsi="Times New Roman" w:cs="Times New Roman"/>
          <w:b/>
          <w:i/>
          <w:sz w:val="28"/>
          <w:szCs w:val="28"/>
          <w:lang w:eastAsia="ru-RU"/>
        </w:rPr>
        <w:t>учреждение</w:t>
      </w:r>
      <w:proofErr w:type="gramStart"/>
      <w:r w:rsidRPr="00787AAC">
        <w:rPr>
          <w:rFonts w:ascii="Times New Roman" w:eastAsia="Times New Roman" w:hAnsi="Times New Roman" w:cs="Times New Roman"/>
          <w:b/>
          <w:i/>
          <w:sz w:val="28"/>
          <w:szCs w:val="28"/>
          <w:lang w:eastAsia="ru-RU"/>
        </w:rPr>
        <w:t>«Ц</w:t>
      </w:r>
      <w:proofErr w:type="gramEnd"/>
      <w:r w:rsidRPr="00787AAC">
        <w:rPr>
          <w:rFonts w:ascii="Times New Roman" w:eastAsia="Times New Roman" w:hAnsi="Times New Roman" w:cs="Times New Roman"/>
          <w:b/>
          <w:i/>
          <w:sz w:val="28"/>
          <w:szCs w:val="28"/>
          <w:lang w:eastAsia="ru-RU"/>
        </w:rPr>
        <w:t>ентр</w:t>
      </w:r>
      <w:proofErr w:type="spellEnd"/>
      <w:r w:rsidRPr="00787AAC">
        <w:rPr>
          <w:rFonts w:ascii="Times New Roman" w:eastAsia="Times New Roman" w:hAnsi="Times New Roman" w:cs="Times New Roman"/>
          <w:b/>
          <w:i/>
          <w:sz w:val="28"/>
          <w:szCs w:val="28"/>
          <w:lang w:eastAsia="ru-RU"/>
        </w:rPr>
        <w:t xml:space="preserve"> социального обслуживания населения </w:t>
      </w:r>
      <w:proofErr w:type="spellStart"/>
      <w:r w:rsidRPr="00787AAC">
        <w:rPr>
          <w:rFonts w:ascii="Times New Roman" w:eastAsia="Times New Roman" w:hAnsi="Times New Roman" w:cs="Times New Roman"/>
          <w:b/>
          <w:i/>
          <w:sz w:val="28"/>
          <w:szCs w:val="28"/>
          <w:lang w:eastAsia="ru-RU"/>
        </w:rPr>
        <w:t>Зельвенского</w:t>
      </w:r>
      <w:proofErr w:type="spellEnd"/>
      <w:r w:rsidRPr="00787AAC">
        <w:rPr>
          <w:rFonts w:ascii="Times New Roman" w:eastAsia="Times New Roman" w:hAnsi="Times New Roman" w:cs="Times New Roman"/>
          <w:b/>
          <w:i/>
          <w:sz w:val="28"/>
          <w:szCs w:val="28"/>
          <w:lang w:eastAsia="ru-RU"/>
        </w:rPr>
        <w:t xml:space="preserve"> района», предоставляющий широкий спектр социальных услуг.</w:t>
      </w:r>
    </w:p>
    <w:p w:rsidR="00787AAC" w:rsidRPr="00787AAC" w:rsidRDefault="00787AAC" w:rsidP="00787AAC">
      <w:pPr>
        <w:spacing w:after="0" w:line="240" w:lineRule="auto"/>
        <w:ind w:left="-284" w:firstLine="708"/>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С целью развития форм социального обслуживания с 2012 по 2017 годы в районе открыты:</w:t>
      </w:r>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ab/>
        <w:t xml:space="preserve"> 1. отделение круглосуточного пребывания для граждан пожилого возраста и инвалидов д. </w:t>
      </w:r>
      <w:proofErr w:type="spellStart"/>
      <w:r w:rsidRPr="00787AAC">
        <w:rPr>
          <w:rFonts w:ascii="Times New Roman" w:eastAsia="Times New Roman" w:hAnsi="Times New Roman" w:cs="Times New Roman"/>
          <w:b/>
          <w:i/>
          <w:sz w:val="28"/>
          <w:szCs w:val="28"/>
          <w:lang w:eastAsia="ru-RU"/>
        </w:rPr>
        <w:t>Мадейки</w:t>
      </w:r>
      <w:proofErr w:type="spellEnd"/>
      <w:r w:rsidRPr="00787AAC">
        <w:rPr>
          <w:rFonts w:ascii="Times New Roman" w:eastAsia="Times New Roman" w:hAnsi="Times New Roman" w:cs="Times New Roman"/>
          <w:b/>
          <w:i/>
          <w:sz w:val="28"/>
          <w:szCs w:val="28"/>
          <w:lang w:eastAsia="ru-RU"/>
        </w:rPr>
        <w:t>(2012 г);</w:t>
      </w:r>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ab/>
        <w:t xml:space="preserve"> 2. отделение дневного пребывания для граждан пожилого возраста </w:t>
      </w:r>
      <w:proofErr w:type="spellStart"/>
      <w:r w:rsidRPr="00787AAC">
        <w:rPr>
          <w:rFonts w:ascii="Times New Roman" w:eastAsia="Times New Roman" w:hAnsi="Times New Roman" w:cs="Times New Roman"/>
          <w:b/>
          <w:i/>
          <w:sz w:val="28"/>
          <w:szCs w:val="28"/>
          <w:lang w:eastAsia="ru-RU"/>
        </w:rPr>
        <w:t>г.п</w:t>
      </w:r>
      <w:proofErr w:type="gramStart"/>
      <w:r w:rsidRPr="00787AAC">
        <w:rPr>
          <w:rFonts w:ascii="Times New Roman" w:eastAsia="Times New Roman" w:hAnsi="Times New Roman" w:cs="Times New Roman"/>
          <w:b/>
          <w:i/>
          <w:sz w:val="28"/>
          <w:szCs w:val="28"/>
          <w:lang w:eastAsia="ru-RU"/>
        </w:rPr>
        <w:t>.З</w:t>
      </w:r>
      <w:proofErr w:type="gramEnd"/>
      <w:r w:rsidRPr="00787AAC">
        <w:rPr>
          <w:rFonts w:ascii="Times New Roman" w:eastAsia="Times New Roman" w:hAnsi="Times New Roman" w:cs="Times New Roman"/>
          <w:b/>
          <w:i/>
          <w:sz w:val="28"/>
          <w:szCs w:val="28"/>
          <w:lang w:eastAsia="ru-RU"/>
        </w:rPr>
        <w:t>ельва</w:t>
      </w:r>
      <w:proofErr w:type="spellEnd"/>
      <w:r w:rsidRPr="00787AAC">
        <w:rPr>
          <w:rFonts w:ascii="Times New Roman" w:eastAsia="Times New Roman" w:hAnsi="Times New Roman" w:cs="Times New Roman"/>
          <w:b/>
          <w:i/>
          <w:sz w:val="28"/>
          <w:szCs w:val="28"/>
          <w:lang w:eastAsia="ru-RU"/>
        </w:rPr>
        <w:t xml:space="preserve"> (2015 г.)</w:t>
      </w:r>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ab/>
        <w:t xml:space="preserve">3. дом самостоятельного совместного проживания граждан пожилого возраста д. </w:t>
      </w:r>
      <w:proofErr w:type="gramStart"/>
      <w:r w:rsidRPr="00787AAC">
        <w:rPr>
          <w:rFonts w:ascii="Times New Roman" w:eastAsia="Times New Roman" w:hAnsi="Times New Roman" w:cs="Times New Roman"/>
          <w:b/>
          <w:i/>
          <w:sz w:val="28"/>
          <w:szCs w:val="28"/>
          <w:lang w:eastAsia="ru-RU"/>
        </w:rPr>
        <w:t>Октябрьская</w:t>
      </w:r>
      <w:proofErr w:type="gramEnd"/>
      <w:r w:rsidRPr="00787AAC">
        <w:rPr>
          <w:rFonts w:ascii="Times New Roman" w:eastAsia="Times New Roman" w:hAnsi="Times New Roman" w:cs="Times New Roman"/>
          <w:b/>
          <w:i/>
          <w:sz w:val="28"/>
          <w:szCs w:val="28"/>
          <w:lang w:eastAsia="ru-RU"/>
        </w:rPr>
        <w:t xml:space="preserve"> (2015 г.);</w:t>
      </w:r>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ab/>
        <w:t>4.«кризисная комната» (2015 г.)</w:t>
      </w:r>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ab/>
        <w:t>С целью обеспечения безопасного проживания пожилых граждан получило развитие менее затратных форм предоставления социальных услуг в «домах взаимопомощи и социальной поддержки», «приемных» и «гостевых» семьях. С 2013 года их количество увеличилось с 1 до 8.</w:t>
      </w:r>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tab/>
        <w:t>С 2014 года оказываются услуги няни, сиделки. Осуществляется прокат технических средств социальной реабилитации.</w:t>
      </w:r>
    </w:p>
    <w:p w:rsidR="00787AAC" w:rsidRPr="00787AAC" w:rsidRDefault="00787AAC" w:rsidP="00787AAC">
      <w:pPr>
        <w:spacing w:after="0" w:line="240" w:lineRule="auto"/>
        <w:ind w:left="-284"/>
        <w:jc w:val="both"/>
        <w:rPr>
          <w:rFonts w:ascii="Times New Roman" w:eastAsia="Times New Roman" w:hAnsi="Times New Roman" w:cs="Times New Roman"/>
          <w:b/>
          <w:i/>
          <w:sz w:val="28"/>
          <w:szCs w:val="28"/>
          <w:lang w:eastAsia="ru-RU"/>
        </w:rPr>
      </w:pPr>
      <w:r w:rsidRPr="00787AAC">
        <w:rPr>
          <w:rFonts w:ascii="Times New Roman" w:eastAsia="Times New Roman" w:hAnsi="Times New Roman" w:cs="Times New Roman"/>
          <w:b/>
          <w:i/>
          <w:sz w:val="28"/>
          <w:szCs w:val="28"/>
          <w:lang w:eastAsia="ru-RU"/>
        </w:rPr>
        <w:lastRenderedPageBreak/>
        <w:tab/>
        <w:t xml:space="preserve">В 2017 году в районе открыта новая форма социального обслуживания «санаторий на дому», внедрен государственный социальный заказ на оказание социальных услуг. </w:t>
      </w:r>
    </w:p>
    <w:p w:rsidR="00787AAC" w:rsidRPr="003C6B57" w:rsidRDefault="00787AAC" w:rsidP="00787AAC">
      <w:pPr>
        <w:pStyle w:val="a3"/>
        <w:jc w:val="both"/>
        <w:rPr>
          <w:rFonts w:ascii="Times New Roman" w:hAnsi="Times New Roman" w:cs="Times New Roman"/>
          <w:sz w:val="30"/>
          <w:szCs w:val="30"/>
        </w:rPr>
      </w:pP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Пожарная безопасность</w:t>
      </w:r>
    </w:p>
    <w:p w:rsidR="003C6B57" w:rsidRPr="003C6B57" w:rsidRDefault="002F7EFD"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С </w:t>
      </w:r>
      <w:r w:rsidR="003C6B57" w:rsidRPr="003C6B57">
        <w:rPr>
          <w:rFonts w:ascii="Times New Roman" w:hAnsi="Times New Roman" w:cs="Times New Roman"/>
          <w:sz w:val="30"/>
          <w:szCs w:val="30"/>
        </w:rPr>
        <w:t>2012 года снижено число граждан, погибших на пожарах, с 103 человек до 39 человек в текущем году (2012 - 103, 2013 – 88,  2014 – 78, 2015 – 70, 2016 – 60, на 14.12.2017 – 39).</w:t>
      </w:r>
    </w:p>
    <w:p w:rsidR="003C6B57" w:rsidRPr="00A01A5B" w:rsidRDefault="003C6B57" w:rsidP="00A01A5B">
      <w:pPr>
        <w:pStyle w:val="a3"/>
        <w:ind w:firstLine="708"/>
        <w:jc w:val="both"/>
        <w:rPr>
          <w:rFonts w:ascii="Times New Roman" w:hAnsi="Times New Roman" w:cs="Times New Roman"/>
          <w:b/>
          <w:sz w:val="30"/>
          <w:szCs w:val="30"/>
        </w:rPr>
      </w:pPr>
      <w:r w:rsidRPr="00A01A5B">
        <w:rPr>
          <w:rFonts w:ascii="Times New Roman" w:hAnsi="Times New Roman" w:cs="Times New Roman"/>
          <w:b/>
          <w:sz w:val="30"/>
          <w:szCs w:val="30"/>
        </w:rPr>
        <w:t xml:space="preserve">В 2018 году планируется: </w:t>
      </w:r>
      <w:r w:rsidRPr="003C6B57">
        <w:rPr>
          <w:rFonts w:ascii="Times New Roman" w:hAnsi="Times New Roman" w:cs="Times New Roman"/>
          <w:sz w:val="30"/>
          <w:szCs w:val="30"/>
        </w:rPr>
        <w:t xml:space="preserve">открыть филиал ГУ «Территориальный центр социального обслуживания населения </w:t>
      </w:r>
      <w:proofErr w:type="spellStart"/>
      <w:r w:rsidRPr="003C6B57">
        <w:rPr>
          <w:rFonts w:ascii="Times New Roman" w:hAnsi="Times New Roman" w:cs="Times New Roman"/>
          <w:sz w:val="30"/>
          <w:szCs w:val="30"/>
        </w:rPr>
        <w:t>Островецкого</w:t>
      </w:r>
      <w:proofErr w:type="spellEnd"/>
      <w:r w:rsidRPr="003C6B57">
        <w:rPr>
          <w:rFonts w:ascii="Times New Roman" w:hAnsi="Times New Roman" w:cs="Times New Roman"/>
          <w:sz w:val="30"/>
          <w:szCs w:val="30"/>
        </w:rPr>
        <w:t xml:space="preserve"> района» в </w:t>
      </w:r>
      <w:proofErr w:type="spellStart"/>
      <w:r w:rsidRPr="003C6B57">
        <w:rPr>
          <w:rFonts w:ascii="Times New Roman" w:hAnsi="Times New Roman" w:cs="Times New Roman"/>
          <w:sz w:val="30"/>
          <w:szCs w:val="30"/>
        </w:rPr>
        <w:t>аг</w:t>
      </w:r>
      <w:proofErr w:type="spellEnd"/>
      <w:r w:rsidRPr="003C6B57">
        <w:rPr>
          <w:rFonts w:ascii="Times New Roman" w:hAnsi="Times New Roman" w:cs="Times New Roman"/>
          <w:sz w:val="30"/>
          <w:szCs w:val="30"/>
        </w:rPr>
        <w:t xml:space="preserve">. </w:t>
      </w:r>
      <w:proofErr w:type="spellStart"/>
      <w:r w:rsidRPr="003C6B57">
        <w:rPr>
          <w:rFonts w:ascii="Times New Roman" w:hAnsi="Times New Roman" w:cs="Times New Roman"/>
          <w:sz w:val="30"/>
          <w:szCs w:val="30"/>
        </w:rPr>
        <w:t>Подольцы</w:t>
      </w:r>
      <w:proofErr w:type="spellEnd"/>
      <w:r w:rsidRPr="003C6B57">
        <w:rPr>
          <w:rFonts w:ascii="Times New Roman" w:hAnsi="Times New Roman" w:cs="Times New Roman"/>
          <w:sz w:val="30"/>
          <w:szCs w:val="30"/>
        </w:rPr>
        <w:t xml:space="preserve"> с предоставлением услуг совместного самостоятельного проживания для граждан пожилого возраста, второй дом совместного самостоятельного проживани</w:t>
      </w:r>
      <w:r w:rsidR="00A01A5B">
        <w:rPr>
          <w:rFonts w:ascii="Times New Roman" w:hAnsi="Times New Roman" w:cs="Times New Roman"/>
          <w:sz w:val="30"/>
          <w:szCs w:val="30"/>
        </w:rPr>
        <w:t xml:space="preserve">я в </w:t>
      </w:r>
      <w:proofErr w:type="spellStart"/>
      <w:r w:rsidR="00A01A5B">
        <w:rPr>
          <w:rFonts w:ascii="Times New Roman" w:hAnsi="Times New Roman" w:cs="Times New Roman"/>
          <w:sz w:val="30"/>
          <w:szCs w:val="30"/>
        </w:rPr>
        <w:t>Зельвенском</w:t>
      </w:r>
      <w:proofErr w:type="spellEnd"/>
      <w:r w:rsidR="00A01A5B">
        <w:rPr>
          <w:rFonts w:ascii="Times New Roman" w:hAnsi="Times New Roman" w:cs="Times New Roman"/>
          <w:sz w:val="30"/>
          <w:szCs w:val="30"/>
        </w:rPr>
        <w:t xml:space="preserve"> районе </w:t>
      </w:r>
      <w:r w:rsidRPr="003C6B57">
        <w:rPr>
          <w:rFonts w:ascii="Times New Roman" w:hAnsi="Times New Roman" w:cs="Times New Roman"/>
          <w:sz w:val="30"/>
          <w:szCs w:val="30"/>
        </w:rPr>
        <w:t>провести: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реконструкцию комплекса зданий и сооружений бывшего учреждения образования «</w:t>
      </w:r>
      <w:proofErr w:type="spellStart"/>
      <w:r w:rsidRPr="003C6B57">
        <w:rPr>
          <w:rFonts w:ascii="Times New Roman" w:hAnsi="Times New Roman" w:cs="Times New Roman"/>
          <w:sz w:val="30"/>
          <w:szCs w:val="30"/>
        </w:rPr>
        <w:t>Верейковская</w:t>
      </w:r>
      <w:proofErr w:type="spellEnd"/>
      <w:r w:rsidRPr="003C6B57">
        <w:rPr>
          <w:rFonts w:ascii="Times New Roman" w:hAnsi="Times New Roman" w:cs="Times New Roman"/>
          <w:sz w:val="30"/>
          <w:szCs w:val="30"/>
        </w:rPr>
        <w:t xml:space="preserve"> государственная санаторная школа-интернат Волковысского района» в </w:t>
      </w:r>
      <w:proofErr w:type="spellStart"/>
      <w:r w:rsidRPr="003C6B57">
        <w:rPr>
          <w:rFonts w:ascii="Times New Roman" w:hAnsi="Times New Roman" w:cs="Times New Roman"/>
          <w:sz w:val="30"/>
          <w:szCs w:val="30"/>
        </w:rPr>
        <w:t>аг</w:t>
      </w:r>
      <w:proofErr w:type="spellEnd"/>
      <w:r w:rsidRPr="003C6B57">
        <w:rPr>
          <w:rFonts w:ascii="Times New Roman" w:hAnsi="Times New Roman" w:cs="Times New Roman"/>
          <w:sz w:val="30"/>
          <w:szCs w:val="30"/>
        </w:rPr>
        <w:t>. Верейки под психоневрологический дом-интернат в 2018-2019 годах. Объект внесен в проект инвестиционной программы Гродненской области на 2018 год с проведением работ 1-го этапа реконструкции, включая проектно-изыскательские работы;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модернизацию автоматической пожарной сигнализации и оборудование системой видеонаблюдения в 6 домах-интернатах психоневрологического профиля;</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продолжить: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оказание мер дополнительной социальной поддержки отдельным категориям граждан и семей, направленных на повышение качества их жизни; </w:t>
      </w:r>
    </w:p>
    <w:p w:rsidR="004D7D4A"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проведение противопожарных мероприятий, направленных на сохранение жизни и здоровья людей.</w:t>
      </w:r>
    </w:p>
    <w:p w:rsidR="003C6B57" w:rsidRDefault="003C6B57" w:rsidP="004D7D4A">
      <w:pPr>
        <w:pStyle w:val="a3"/>
        <w:jc w:val="center"/>
        <w:rPr>
          <w:rFonts w:ascii="Times New Roman" w:hAnsi="Times New Roman" w:cs="Times New Roman"/>
          <w:b/>
          <w:sz w:val="30"/>
          <w:szCs w:val="30"/>
        </w:rPr>
      </w:pPr>
    </w:p>
    <w:p w:rsidR="00F14651" w:rsidRPr="004D7D4A" w:rsidRDefault="004D7D4A" w:rsidP="004D7D4A">
      <w:pPr>
        <w:pStyle w:val="a3"/>
        <w:jc w:val="center"/>
        <w:rPr>
          <w:rFonts w:ascii="Times New Roman" w:hAnsi="Times New Roman" w:cs="Times New Roman"/>
          <w:b/>
          <w:sz w:val="30"/>
          <w:szCs w:val="30"/>
        </w:rPr>
      </w:pPr>
      <w:r w:rsidRPr="004D7D4A">
        <w:rPr>
          <w:rFonts w:ascii="Times New Roman" w:hAnsi="Times New Roman" w:cs="Times New Roman"/>
          <w:b/>
          <w:sz w:val="30"/>
          <w:szCs w:val="30"/>
        </w:rPr>
        <w:t>Здравоохранение</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Сегодня здравоохранение Гродненской области заняло активную позицию в борьбе с неинфекционными заболеваниями. Именно такой подход заложен в Госпрограмме «Здоровье народа и демографическая безопасность Беларуси 2016-2020». Основным элементом в профилактике и лечении неинфекционных заболеваний является диспансеризация населения, на которую имеет право все граждане Республики Беларусь.</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Число посещений врачей в Гродненской области в течение последних трех лет держится на одном уровне и составляет 12,6 на 1 жителя. В России данный показатель за последние годы - 9,5 на 1 жителя.</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Для повышения доступности специализированной, в том числе высокотехнологичной, медицинской помощи, проведена значительная работа по внедрению новых технологий в практическое здравоохранение республики.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lastRenderedPageBreak/>
        <w:t xml:space="preserve">В течение последних 5 лет осуществлялось внедрение новых высокотехнологичных технологий, переориентация оказания медицинской помощи со стационарного на амбулаторно-поликлинический этап, развитие </w:t>
      </w:r>
      <w:proofErr w:type="spellStart"/>
      <w:r w:rsidRPr="00F14651">
        <w:rPr>
          <w:rFonts w:ascii="Times New Roman" w:hAnsi="Times New Roman" w:cs="Times New Roman"/>
          <w:sz w:val="30"/>
          <w:szCs w:val="30"/>
          <w:lang w:bidi="ru-RU"/>
        </w:rPr>
        <w:t>стационарзамещающих</w:t>
      </w:r>
      <w:proofErr w:type="spellEnd"/>
      <w:r w:rsidRPr="00F14651">
        <w:rPr>
          <w:rFonts w:ascii="Times New Roman" w:hAnsi="Times New Roman" w:cs="Times New Roman"/>
          <w:sz w:val="30"/>
          <w:szCs w:val="30"/>
          <w:lang w:bidi="ru-RU"/>
        </w:rPr>
        <w:t xml:space="preserve"> технологий, активизация работы поликлинических учреждений.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Внедрение таких современных диагностических исследований как магнитно-резонансная и компьютерная томография, ангиография, повсеместная ультразвуковая и эндоскопическая диагностика позволили значительно улучшить диагностику заболеваний, </w:t>
      </w:r>
      <w:proofErr w:type="spellStart"/>
      <w:r w:rsidRPr="00F14651">
        <w:rPr>
          <w:rFonts w:ascii="Times New Roman" w:hAnsi="Times New Roman" w:cs="Times New Roman"/>
          <w:sz w:val="30"/>
          <w:szCs w:val="30"/>
          <w:lang w:bidi="ru-RU"/>
        </w:rPr>
        <w:t>выявляемость</w:t>
      </w:r>
      <w:proofErr w:type="spellEnd"/>
      <w:r w:rsidRPr="00F14651">
        <w:rPr>
          <w:rFonts w:ascii="Times New Roman" w:hAnsi="Times New Roman" w:cs="Times New Roman"/>
          <w:sz w:val="30"/>
          <w:szCs w:val="30"/>
          <w:lang w:bidi="ru-RU"/>
        </w:rPr>
        <w:t xml:space="preserve"> скрытых форм заболеваний и дифференциальную диагностику выявленной патологии.</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t>СПРАВОЧНО: За истекший период в учреждениях здравоохранения области установлены 3 магнитно-резонансных и 7 компьютерных томографов.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i/>
          <w:iCs/>
          <w:sz w:val="30"/>
          <w:szCs w:val="30"/>
          <w:lang w:bidi="ru-RU"/>
        </w:rPr>
        <w:t>С</w:t>
      </w:r>
      <w:r w:rsidRPr="00F14651">
        <w:rPr>
          <w:rFonts w:ascii="Times New Roman" w:hAnsi="Times New Roman" w:cs="Times New Roman"/>
          <w:sz w:val="30"/>
          <w:szCs w:val="30"/>
          <w:lang w:bidi="ru-RU"/>
        </w:rPr>
        <w:t xml:space="preserve"> целью повышения доступности для населения высокотехнологичной медицинской помощи сформирована сеть межрайонных специализированных отделений.</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t>СПРАВОЧНО: В настоящее время в области созданы и функционируют 23 межрайонных отделения по 9 профилям, 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целях снижения смертности от инфаркта миокарда в учреждениях здравоохранения Гродненской области внедрены современные методики обследования и лечения заболеваний сердечно-сосудистой системы: </w:t>
      </w:r>
      <w:proofErr w:type="spellStart"/>
      <w:r w:rsidRPr="00F14651">
        <w:rPr>
          <w:rFonts w:ascii="Times New Roman" w:hAnsi="Times New Roman" w:cs="Times New Roman"/>
          <w:sz w:val="30"/>
          <w:szCs w:val="30"/>
          <w:lang w:bidi="ru-RU"/>
        </w:rPr>
        <w:t>холтеровскогомониторирования</w:t>
      </w:r>
      <w:proofErr w:type="spellEnd"/>
      <w:r w:rsidRPr="00F14651">
        <w:rPr>
          <w:rFonts w:ascii="Times New Roman" w:hAnsi="Times New Roman" w:cs="Times New Roman"/>
          <w:sz w:val="30"/>
          <w:szCs w:val="30"/>
          <w:lang w:bidi="ru-RU"/>
        </w:rPr>
        <w:t xml:space="preserve">, раннего </w:t>
      </w:r>
      <w:proofErr w:type="spellStart"/>
      <w:r w:rsidRPr="00F14651">
        <w:rPr>
          <w:rFonts w:ascii="Times New Roman" w:hAnsi="Times New Roman" w:cs="Times New Roman"/>
          <w:sz w:val="30"/>
          <w:szCs w:val="30"/>
          <w:lang w:bidi="ru-RU"/>
        </w:rPr>
        <w:t>тромболизиса</w:t>
      </w:r>
      <w:proofErr w:type="spellEnd"/>
      <w:r w:rsidRPr="00F14651">
        <w:rPr>
          <w:rFonts w:ascii="Times New Roman" w:hAnsi="Times New Roman" w:cs="Times New Roman"/>
          <w:sz w:val="30"/>
          <w:szCs w:val="30"/>
          <w:lang w:bidi="ru-RU"/>
        </w:rPr>
        <w:t xml:space="preserve">, инвазивного и хирургического лечения больных с острым коронарным синдромом и хронической ишемической болезнью сердца, </w:t>
      </w:r>
      <w:proofErr w:type="spellStart"/>
      <w:r w:rsidRPr="00F14651">
        <w:rPr>
          <w:rFonts w:ascii="Times New Roman" w:hAnsi="Times New Roman" w:cs="Times New Roman"/>
          <w:sz w:val="30"/>
          <w:szCs w:val="30"/>
          <w:lang w:bidi="ru-RU"/>
        </w:rPr>
        <w:t>клепирование</w:t>
      </w:r>
      <w:proofErr w:type="spellEnd"/>
      <w:r w:rsidRPr="00F14651">
        <w:rPr>
          <w:rFonts w:ascii="Times New Roman" w:hAnsi="Times New Roman" w:cs="Times New Roman"/>
          <w:sz w:val="30"/>
          <w:szCs w:val="30"/>
          <w:lang w:bidi="ru-RU"/>
        </w:rPr>
        <w:t xml:space="preserve"> мозговых аневризм, хирургическое лечение геморрагических инсультов.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Успешно развивается кардиохирургия, трансплантология. Ежегодно кардиохирургами области проводится более 1 500 операций, из них более 500 - на открытом сердце. Проведена пересадка более 30 почек.</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Гродненской области для раннего выявления онкологических заболеваний внедрены </w:t>
      </w:r>
      <w:proofErr w:type="spellStart"/>
      <w:r w:rsidRPr="00F14651">
        <w:rPr>
          <w:rFonts w:ascii="Times New Roman" w:hAnsi="Times New Roman" w:cs="Times New Roman"/>
          <w:sz w:val="30"/>
          <w:szCs w:val="30"/>
          <w:lang w:bidi="ru-RU"/>
        </w:rPr>
        <w:t>скрининговые</w:t>
      </w:r>
      <w:proofErr w:type="spellEnd"/>
      <w:r w:rsidRPr="00F14651">
        <w:rPr>
          <w:rFonts w:ascii="Times New Roman" w:hAnsi="Times New Roman" w:cs="Times New Roman"/>
          <w:sz w:val="30"/>
          <w:szCs w:val="30"/>
          <w:lang w:bidi="ru-RU"/>
        </w:rPr>
        <w:t xml:space="preserve"> исследования </w:t>
      </w:r>
      <w:proofErr w:type="spellStart"/>
      <w:r w:rsidRPr="00F14651">
        <w:rPr>
          <w:rFonts w:ascii="Times New Roman" w:hAnsi="Times New Roman" w:cs="Times New Roman"/>
          <w:sz w:val="30"/>
          <w:szCs w:val="30"/>
          <w:lang w:bidi="ru-RU"/>
        </w:rPr>
        <w:t>колоректального</w:t>
      </w:r>
      <w:proofErr w:type="spellEnd"/>
      <w:r w:rsidRPr="00F14651">
        <w:rPr>
          <w:rFonts w:ascii="Times New Roman" w:hAnsi="Times New Roman" w:cs="Times New Roman"/>
          <w:sz w:val="30"/>
          <w:szCs w:val="30"/>
          <w:lang w:bidi="ru-RU"/>
        </w:rPr>
        <w:t xml:space="preserve"> рака, рака молочной железы, простаты, что позволяет выявлять заболевания в ранних стадиях.</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Повысилось качество и ортопедотравматологической помощи: в настоящее время выполняются такие высокотехнологичные операции, как </w:t>
      </w:r>
      <w:proofErr w:type="spellStart"/>
      <w:r w:rsidRPr="00F14651">
        <w:rPr>
          <w:rFonts w:ascii="Times New Roman" w:hAnsi="Times New Roman" w:cs="Times New Roman"/>
          <w:sz w:val="30"/>
          <w:szCs w:val="30"/>
          <w:lang w:bidi="ru-RU"/>
        </w:rPr>
        <w:t>эндопротезирование</w:t>
      </w:r>
      <w:proofErr w:type="spellEnd"/>
      <w:r w:rsidRPr="00F14651">
        <w:rPr>
          <w:rFonts w:ascii="Times New Roman" w:hAnsi="Times New Roman" w:cs="Times New Roman"/>
          <w:sz w:val="30"/>
          <w:szCs w:val="30"/>
          <w:lang w:bidi="ru-RU"/>
        </w:rPr>
        <w:t xml:space="preserve"> тазобедренных и коленных суставов, методика </w:t>
      </w:r>
      <w:proofErr w:type="spellStart"/>
      <w:r w:rsidRPr="00F14651">
        <w:rPr>
          <w:rFonts w:ascii="Times New Roman" w:hAnsi="Times New Roman" w:cs="Times New Roman"/>
          <w:sz w:val="30"/>
          <w:szCs w:val="30"/>
          <w:lang w:bidi="ru-RU"/>
        </w:rPr>
        <w:t>интерлокинга</w:t>
      </w:r>
      <w:proofErr w:type="spellEnd"/>
      <w:r w:rsidRPr="00F14651">
        <w:rPr>
          <w:rFonts w:ascii="Times New Roman" w:hAnsi="Times New Roman" w:cs="Times New Roman"/>
          <w:sz w:val="30"/>
          <w:szCs w:val="30"/>
          <w:lang w:bidi="ru-RU"/>
        </w:rPr>
        <w:t>.</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С 1 февраля 2016 года в г. Гродно на базе учреждения здравоохранения «Городская клиническая больница № 3 г. Гродно» открыто отделение паллиативной помощи, включающее койки круглосуточного и дневного </w:t>
      </w:r>
      <w:r w:rsidRPr="00F14651">
        <w:rPr>
          <w:rFonts w:ascii="Times New Roman" w:hAnsi="Times New Roman" w:cs="Times New Roman"/>
          <w:sz w:val="30"/>
          <w:szCs w:val="30"/>
          <w:lang w:bidi="ru-RU"/>
        </w:rPr>
        <w:lastRenderedPageBreak/>
        <w:t xml:space="preserve">пребывания, службу амбулаторной помощи, в которых получают медпомощь пациенты с онкологическими заболеваниями в терминальной </w:t>
      </w:r>
      <w:r w:rsidRPr="00F14651">
        <w:rPr>
          <w:rFonts w:ascii="Times New Roman" w:hAnsi="Times New Roman" w:cs="Times New Roman"/>
          <w:i/>
          <w:iCs/>
          <w:sz w:val="30"/>
          <w:szCs w:val="30"/>
          <w:lang w:bidi="ru-RU"/>
        </w:rPr>
        <w:t xml:space="preserve">(предсмертной) </w:t>
      </w:r>
      <w:r w:rsidRPr="00F14651">
        <w:rPr>
          <w:rFonts w:ascii="Times New Roman" w:hAnsi="Times New Roman" w:cs="Times New Roman"/>
          <w:sz w:val="30"/>
          <w:szCs w:val="30"/>
          <w:lang w:bidi="ru-RU"/>
        </w:rPr>
        <w:t>стадии, с тяжелой соматической патологией.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В течение пяти последних лет проводилась активная работа по укреплению материально-технической базы учреждений здравоохранения: открыты хирургический корпус областной детской клинической больницы, амбулатория в </w:t>
      </w:r>
      <w:proofErr w:type="spellStart"/>
      <w:r w:rsidRPr="00F14651">
        <w:rPr>
          <w:rFonts w:ascii="Times New Roman" w:hAnsi="Times New Roman" w:cs="Times New Roman"/>
          <w:sz w:val="30"/>
          <w:szCs w:val="30"/>
          <w:lang w:bidi="ru-RU"/>
        </w:rPr>
        <w:t>Вертилишках</w:t>
      </w:r>
      <w:proofErr w:type="spellEnd"/>
      <w:r w:rsidRPr="00F14651">
        <w:rPr>
          <w:rFonts w:ascii="Times New Roman" w:hAnsi="Times New Roman" w:cs="Times New Roman"/>
          <w:sz w:val="30"/>
          <w:szCs w:val="30"/>
          <w:lang w:bidi="ru-RU"/>
        </w:rPr>
        <w:t xml:space="preserve"> Гродненского района, амбулатория в Правых Мостах Мостовского района, городская больница в </w:t>
      </w:r>
      <w:proofErr w:type="spellStart"/>
      <w:r w:rsidRPr="00F14651">
        <w:rPr>
          <w:rFonts w:ascii="Times New Roman" w:hAnsi="Times New Roman" w:cs="Times New Roman"/>
          <w:sz w:val="30"/>
          <w:szCs w:val="30"/>
          <w:lang w:bidi="ru-RU"/>
        </w:rPr>
        <w:t>г.п</w:t>
      </w:r>
      <w:proofErr w:type="spellEnd"/>
      <w:r w:rsidRPr="00F14651">
        <w:rPr>
          <w:rFonts w:ascii="Times New Roman" w:hAnsi="Times New Roman" w:cs="Times New Roman"/>
          <w:sz w:val="30"/>
          <w:szCs w:val="30"/>
          <w:lang w:bidi="ru-RU"/>
        </w:rPr>
        <w:t xml:space="preserve">. Радунь </w:t>
      </w:r>
      <w:proofErr w:type="spellStart"/>
      <w:r w:rsidRPr="00F14651">
        <w:rPr>
          <w:rFonts w:ascii="Times New Roman" w:hAnsi="Times New Roman" w:cs="Times New Roman"/>
          <w:sz w:val="30"/>
          <w:szCs w:val="30"/>
          <w:lang w:bidi="ru-RU"/>
        </w:rPr>
        <w:t>Вороновского</w:t>
      </w:r>
      <w:proofErr w:type="spellEnd"/>
      <w:r w:rsidRPr="00F14651">
        <w:rPr>
          <w:rFonts w:ascii="Times New Roman" w:hAnsi="Times New Roman" w:cs="Times New Roman"/>
          <w:sz w:val="30"/>
          <w:szCs w:val="30"/>
          <w:lang w:bidi="ru-RU"/>
        </w:rPr>
        <w:t xml:space="preserve"> района, амбулатория в ж</w:t>
      </w:r>
      <w:r w:rsidR="002F7EFD">
        <w:rPr>
          <w:rFonts w:ascii="Times New Roman" w:hAnsi="Times New Roman" w:cs="Times New Roman"/>
          <w:sz w:val="30"/>
          <w:szCs w:val="30"/>
          <w:lang w:bidi="ru-RU"/>
        </w:rPr>
        <w:t>илом доме в микрорайоне Ольшанка</w:t>
      </w:r>
      <w:r w:rsidRPr="00F14651">
        <w:rPr>
          <w:rFonts w:ascii="Times New Roman" w:hAnsi="Times New Roman" w:cs="Times New Roman"/>
          <w:sz w:val="30"/>
          <w:szCs w:val="30"/>
          <w:lang w:bidi="ru-RU"/>
        </w:rPr>
        <w:t xml:space="preserve"> г. Гродно, введено в эксплуатацию новое здание УЗ «Гродненская областная станция переливания крови», завершена реконструкция лечебного корпуса УЗ «Гродненская областная инфекционная больница», здания бывшей железнодорожной больницы под Гродненский областной </w:t>
      </w:r>
      <w:proofErr w:type="spellStart"/>
      <w:r w:rsidRPr="00F14651">
        <w:rPr>
          <w:rFonts w:ascii="Times New Roman" w:hAnsi="Times New Roman" w:cs="Times New Roman"/>
          <w:sz w:val="30"/>
          <w:szCs w:val="30"/>
          <w:lang w:bidi="ru-RU"/>
        </w:rPr>
        <w:t>кожно</w:t>
      </w:r>
      <w:r w:rsidRPr="00F14651">
        <w:rPr>
          <w:rFonts w:ascii="Times New Roman" w:hAnsi="Times New Roman" w:cs="Times New Roman"/>
          <w:sz w:val="30"/>
          <w:szCs w:val="30"/>
          <w:lang w:bidi="ru-RU"/>
        </w:rPr>
        <w:softHyphen/>
        <w:t>венерологический</w:t>
      </w:r>
      <w:proofErr w:type="spellEnd"/>
      <w:r w:rsidRPr="00F14651">
        <w:rPr>
          <w:rFonts w:ascii="Times New Roman" w:hAnsi="Times New Roman" w:cs="Times New Roman"/>
          <w:sz w:val="30"/>
          <w:szCs w:val="30"/>
          <w:lang w:bidi="ru-RU"/>
        </w:rPr>
        <w:t xml:space="preserve"> диспансер, построена поликлиника №7 в г. Гродно и др.</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Внедрена и функционирует в Гродненской области телемедицинская система, позволяющая консультировать пациентов из районов области дистанционно специалистами областных учреждений здравоохранения. На скорой медицинской помощи функционирует система теле</w:t>
      </w:r>
      <w:r w:rsidR="002F7EFD">
        <w:rPr>
          <w:rFonts w:ascii="Times New Roman" w:hAnsi="Times New Roman" w:cs="Times New Roman"/>
          <w:sz w:val="30"/>
          <w:szCs w:val="30"/>
          <w:lang w:bidi="ru-RU"/>
        </w:rPr>
        <w:t xml:space="preserve"> </w:t>
      </w:r>
      <w:proofErr w:type="spellStart"/>
      <w:r w:rsidRPr="00F14651">
        <w:rPr>
          <w:rFonts w:ascii="Times New Roman" w:hAnsi="Times New Roman" w:cs="Times New Roman"/>
          <w:sz w:val="30"/>
          <w:szCs w:val="30"/>
          <w:lang w:bidi="ru-RU"/>
        </w:rPr>
        <w:t>ЭКГ,</w:t>
      </w:r>
      <w:r>
        <w:rPr>
          <w:rFonts w:ascii="Times New Roman" w:eastAsia="Times New Roman" w:hAnsi="Times New Roman" w:cs="Times New Roman"/>
          <w:color w:val="000000"/>
          <w:sz w:val="28"/>
          <w:szCs w:val="28"/>
          <w:lang w:eastAsia="ru-RU" w:bidi="ru-RU"/>
        </w:rPr>
        <w:t>позволяющая</w:t>
      </w:r>
      <w:proofErr w:type="spellEnd"/>
      <w:r>
        <w:rPr>
          <w:rFonts w:ascii="Times New Roman" w:eastAsia="Times New Roman" w:hAnsi="Times New Roman" w:cs="Times New Roman"/>
          <w:color w:val="000000"/>
          <w:sz w:val="28"/>
          <w:szCs w:val="28"/>
          <w:lang w:eastAsia="ru-RU" w:bidi="ru-RU"/>
        </w:rPr>
        <w:t xml:space="preserve"> </w:t>
      </w:r>
      <w:r w:rsidRPr="00F14651">
        <w:rPr>
          <w:rFonts w:ascii="Times New Roman" w:hAnsi="Times New Roman" w:cs="Times New Roman"/>
          <w:sz w:val="30"/>
          <w:szCs w:val="30"/>
          <w:lang w:bidi="ru-RU"/>
        </w:rPr>
        <w:t>передавать данные ЭКГ в районные и областные центры, где специалисты проводят расшифровку их в неясных случаях. Активно внедряются технологии «Электронный рецепт».</w:t>
      </w:r>
    </w:p>
    <w:p w:rsidR="00F14651" w:rsidRDefault="00F14651" w:rsidP="004D7D4A">
      <w:pPr>
        <w:pStyle w:val="a3"/>
        <w:ind w:firstLine="708"/>
        <w:jc w:val="both"/>
        <w:rPr>
          <w:rFonts w:ascii="Arial Unicode MS" w:eastAsia="Arial Unicode MS" w:hAnsi="Arial Unicode MS" w:cs="Arial Unicode MS"/>
          <w:color w:val="000000"/>
          <w:sz w:val="24"/>
          <w:szCs w:val="24"/>
          <w:lang w:eastAsia="ru-RU" w:bidi="ru-RU"/>
        </w:rPr>
      </w:pPr>
      <w:r w:rsidRPr="00F14651">
        <w:rPr>
          <w:rFonts w:ascii="Times New Roman" w:hAnsi="Times New Roman" w:cs="Times New Roman"/>
          <w:sz w:val="30"/>
          <w:szCs w:val="30"/>
          <w:lang w:bidi="ru-RU"/>
        </w:rPr>
        <w:t>Для улучшения оперативности принимаемых решений и повышения качества медицинской помощи в Гродненской области будет продолжено формирование единой системы электронного здравоохранения, внедрение электронного рецепта, электронных направлений на различные исследования, электронной записи на прием к врачу и вызов врача на дом, электронные очереди в поликлиниках и др.</w:t>
      </w:r>
    </w:p>
    <w:p w:rsidR="0038417D" w:rsidRDefault="00F14651" w:rsidP="0038417D">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Продолжится работа по укреплению материально-технической базы учреждений здравоохранения Гродненской области</w:t>
      </w:r>
      <w:r w:rsidR="004D7D4A">
        <w:rPr>
          <w:rFonts w:ascii="Times New Roman" w:hAnsi="Times New Roman" w:cs="Times New Roman"/>
          <w:sz w:val="30"/>
          <w:szCs w:val="30"/>
          <w:lang w:bidi="ru-RU"/>
        </w:rPr>
        <w:t>.</w:t>
      </w:r>
    </w:p>
    <w:p w:rsidR="00787AAC" w:rsidRPr="00DD7551" w:rsidRDefault="00787AAC" w:rsidP="00787AAC">
      <w:pPr>
        <w:spacing w:after="0" w:line="240" w:lineRule="auto"/>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Сегодня здравоохранение </w:t>
      </w:r>
      <w:proofErr w:type="spellStart"/>
      <w:r w:rsidRPr="00DD7551">
        <w:rPr>
          <w:rFonts w:ascii="Times New Roman" w:hAnsi="Times New Roman" w:cs="Times New Roman"/>
          <w:b/>
          <w:i/>
          <w:sz w:val="28"/>
          <w:szCs w:val="28"/>
        </w:rPr>
        <w:t>Зельвенского</w:t>
      </w:r>
      <w:proofErr w:type="spellEnd"/>
      <w:r w:rsidRPr="00DD7551">
        <w:rPr>
          <w:rFonts w:ascii="Times New Roman" w:hAnsi="Times New Roman" w:cs="Times New Roman"/>
          <w:b/>
          <w:i/>
          <w:sz w:val="28"/>
          <w:szCs w:val="28"/>
        </w:rPr>
        <w:t xml:space="preserve"> района ведет активные мероприятия по борьбе с болезнями системы кровообращения и онкологической патологией. Основным звеном в профилактике и лечении онкологических заболеваний и болезней системы кровообращения является диспансеризация населения. По итогам проведения диспансеризации сформированы группы диспансерного наблюдения. Охват всеобщей диспансеризации составил 96 % от подлежащего контингента.</w:t>
      </w:r>
    </w:p>
    <w:p w:rsidR="00787AAC" w:rsidRPr="00DD7551" w:rsidRDefault="00787AAC" w:rsidP="00787AAC">
      <w:pPr>
        <w:spacing w:after="0" w:line="240" w:lineRule="auto"/>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С целью повышения доступности  оказания медицинской помощи для населения района функционирует сеть межрайонных специализированных отделений (инфекционное, травматологическое, родильное Слонимской ЦРБ, урологическое - </w:t>
      </w:r>
      <w:proofErr w:type="spellStart"/>
      <w:r w:rsidRPr="00DD7551">
        <w:rPr>
          <w:rFonts w:ascii="Times New Roman" w:hAnsi="Times New Roman" w:cs="Times New Roman"/>
          <w:b/>
          <w:i/>
          <w:sz w:val="28"/>
          <w:szCs w:val="28"/>
        </w:rPr>
        <w:t>Свислочской</w:t>
      </w:r>
      <w:proofErr w:type="spellEnd"/>
      <w:r w:rsidRPr="00DD7551">
        <w:rPr>
          <w:rFonts w:ascii="Times New Roman" w:hAnsi="Times New Roman" w:cs="Times New Roman"/>
          <w:b/>
          <w:i/>
          <w:sz w:val="28"/>
          <w:szCs w:val="28"/>
        </w:rPr>
        <w:t xml:space="preserve"> ЦРБ).</w:t>
      </w:r>
    </w:p>
    <w:p w:rsidR="00787AAC" w:rsidRPr="00DD7551" w:rsidRDefault="00787AAC" w:rsidP="00787AAC">
      <w:pPr>
        <w:spacing w:after="0" w:line="240" w:lineRule="auto"/>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Для повышения доступности специализированной, в том числе высокотехнологичной, медицинской помощи , налажена связь с ресурсными центрами </w:t>
      </w:r>
      <w:proofErr w:type="spellStart"/>
      <w:r w:rsidRPr="00DD7551">
        <w:rPr>
          <w:rFonts w:ascii="Times New Roman" w:hAnsi="Times New Roman" w:cs="Times New Roman"/>
          <w:b/>
          <w:i/>
          <w:sz w:val="28"/>
          <w:szCs w:val="28"/>
        </w:rPr>
        <w:t>г</w:t>
      </w:r>
      <w:proofErr w:type="gramStart"/>
      <w:r w:rsidRPr="00DD7551">
        <w:rPr>
          <w:rFonts w:ascii="Times New Roman" w:hAnsi="Times New Roman" w:cs="Times New Roman"/>
          <w:b/>
          <w:i/>
          <w:sz w:val="28"/>
          <w:szCs w:val="28"/>
        </w:rPr>
        <w:t>.Г</w:t>
      </w:r>
      <w:proofErr w:type="gramEnd"/>
      <w:r w:rsidRPr="00DD7551">
        <w:rPr>
          <w:rFonts w:ascii="Times New Roman" w:hAnsi="Times New Roman" w:cs="Times New Roman"/>
          <w:b/>
          <w:i/>
          <w:sz w:val="28"/>
          <w:szCs w:val="28"/>
        </w:rPr>
        <w:t>родно</w:t>
      </w:r>
      <w:proofErr w:type="spellEnd"/>
      <w:r w:rsidRPr="00DD7551">
        <w:rPr>
          <w:rFonts w:ascii="Times New Roman" w:hAnsi="Times New Roman" w:cs="Times New Roman"/>
          <w:b/>
          <w:i/>
          <w:sz w:val="28"/>
          <w:szCs w:val="28"/>
        </w:rPr>
        <w:t xml:space="preserve"> и Гродненской области. В Слонимской ЦРБ выделяются места согласно приказу УЗО для проведения высокотехнологичного метода исследовани</w:t>
      </w:r>
      <w:proofErr w:type="gramStart"/>
      <w:r w:rsidRPr="00DD7551">
        <w:rPr>
          <w:rFonts w:ascii="Times New Roman" w:hAnsi="Times New Roman" w:cs="Times New Roman"/>
          <w:b/>
          <w:i/>
          <w:sz w:val="28"/>
          <w:szCs w:val="28"/>
        </w:rPr>
        <w:t>я-</w:t>
      </w:r>
      <w:proofErr w:type="gramEnd"/>
      <w:r w:rsidRPr="00DD7551">
        <w:rPr>
          <w:rFonts w:ascii="Times New Roman" w:hAnsi="Times New Roman" w:cs="Times New Roman"/>
          <w:b/>
          <w:i/>
          <w:sz w:val="28"/>
          <w:szCs w:val="28"/>
        </w:rPr>
        <w:t xml:space="preserve"> </w:t>
      </w:r>
      <w:proofErr w:type="spellStart"/>
      <w:r w:rsidRPr="00DD7551">
        <w:rPr>
          <w:rFonts w:ascii="Times New Roman" w:hAnsi="Times New Roman" w:cs="Times New Roman"/>
          <w:b/>
          <w:i/>
          <w:sz w:val="28"/>
          <w:szCs w:val="28"/>
        </w:rPr>
        <w:t>Компьтерная</w:t>
      </w:r>
      <w:proofErr w:type="spellEnd"/>
      <w:r w:rsidRPr="00DD7551">
        <w:rPr>
          <w:rFonts w:ascii="Times New Roman" w:hAnsi="Times New Roman" w:cs="Times New Roman"/>
          <w:b/>
          <w:i/>
          <w:sz w:val="28"/>
          <w:szCs w:val="28"/>
        </w:rPr>
        <w:t xml:space="preserve"> томография .</w:t>
      </w:r>
    </w:p>
    <w:p w:rsidR="00787AAC" w:rsidRPr="00DD7551" w:rsidRDefault="00787AAC" w:rsidP="00787AAC">
      <w:pPr>
        <w:spacing w:after="0" w:line="240" w:lineRule="auto"/>
        <w:ind w:left="-284" w:firstLine="708"/>
        <w:jc w:val="both"/>
        <w:rPr>
          <w:rFonts w:ascii="Times New Roman" w:hAnsi="Times New Roman" w:cs="Times New Roman"/>
          <w:b/>
          <w:i/>
          <w:color w:val="262626"/>
          <w:sz w:val="28"/>
          <w:szCs w:val="28"/>
        </w:rPr>
      </w:pPr>
      <w:r w:rsidRPr="00DD7551">
        <w:rPr>
          <w:rFonts w:ascii="Times New Roman" w:hAnsi="Times New Roman" w:cs="Times New Roman"/>
          <w:b/>
          <w:i/>
          <w:color w:val="262626"/>
          <w:sz w:val="28"/>
          <w:szCs w:val="28"/>
        </w:rPr>
        <w:lastRenderedPageBreak/>
        <w:t xml:space="preserve">С  целью повышения качества оказания медицинской помощи в </w:t>
      </w:r>
      <w:proofErr w:type="spellStart"/>
      <w:r w:rsidRPr="00DD7551">
        <w:rPr>
          <w:rFonts w:ascii="Times New Roman" w:hAnsi="Times New Roman" w:cs="Times New Roman"/>
          <w:b/>
          <w:i/>
          <w:color w:val="262626"/>
          <w:sz w:val="28"/>
          <w:szCs w:val="28"/>
        </w:rPr>
        <w:t>Зельвенском</w:t>
      </w:r>
      <w:proofErr w:type="spellEnd"/>
      <w:r w:rsidRPr="00DD7551">
        <w:rPr>
          <w:rFonts w:ascii="Times New Roman" w:hAnsi="Times New Roman" w:cs="Times New Roman"/>
          <w:b/>
          <w:i/>
          <w:color w:val="262626"/>
          <w:sz w:val="28"/>
          <w:szCs w:val="28"/>
        </w:rPr>
        <w:t xml:space="preserve"> районе  начата работа по формированию единой системы электронного здравоохранения, электронной записи на прием и через интернет. Закуплено необходимое оборудование и материалы для создания единой сети </w:t>
      </w:r>
      <w:proofErr w:type="gramStart"/>
      <w:r w:rsidRPr="00DD7551">
        <w:rPr>
          <w:rFonts w:ascii="Times New Roman" w:hAnsi="Times New Roman" w:cs="Times New Roman"/>
          <w:b/>
          <w:i/>
          <w:color w:val="262626"/>
          <w:sz w:val="28"/>
          <w:szCs w:val="28"/>
        </w:rPr>
        <w:t>по</w:t>
      </w:r>
      <w:proofErr w:type="gramEnd"/>
      <w:r w:rsidRPr="00DD7551">
        <w:rPr>
          <w:rFonts w:ascii="Times New Roman" w:hAnsi="Times New Roman" w:cs="Times New Roman"/>
          <w:b/>
          <w:i/>
          <w:color w:val="262626"/>
          <w:sz w:val="28"/>
          <w:szCs w:val="28"/>
        </w:rPr>
        <w:t xml:space="preserve"> УЗ.</w:t>
      </w:r>
    </w:p>
    <w:p w:rsidR="00787AAC" w:rsidRPr="00DD7551" w:rsidRDefault="00787AAC" w:rsidP="00787AAC">
      <w:pPr>
        <w:spacing w:after="0" w:line="240" w:lineRule="auto"/>
        <w:ind w:left="-284" w:firstLine="708"/>
        <w:jc w:val="both"/>
        <w:rPr>
          <w:rFonts w:ascii="Times New Roman" w:hAnsi="Times New Roman" w:cs="Times New Roman"/>
          <w:b/>
          <w:i/>
          <w:color w:val="262626"/>
          <w:sz w:val="28"/>
          <w:szCs w:val="28"/>
        </w:rPr>
      </w:pPr>
      <w:r w:rsidRPr="00DD7551">
        <w:rPr>
          <w:rFonts w:ascii="Times New Roman" w:hAnsi="Times New Roman" w:cs="Times New Roman"/>
          <w:b/>
          <w:i/>
          <w:color w:val="262626"/>
          <w:sz w:val="28"/>
          <w:szCs w:val="28"/>
        </w:rPr>
        <w:t xml:space="preserve">Закуплены и введены в эксплуатацию  ЭКГ-аппараты и </w:t>
      </w:r>
      <w:proofErr w:type="spellStart"/>
      <w:r w:rsidRPr="00DD7551">
        <w:rPr>
          <w:rFonts w:ascii="Times New Roman" w:hAnsi="Times New Roman" w:cs="Times New Roman"/>
          <w:b/>
          <w:i/>
          <w:color w:val="262626"/>
          <w:sz w:val="28"/>
          <w:szCs w:val="28"/>
        </w:rPr>
        <w:t>холтеровские</w:t>
      </w:r>
      <w:proofErr w:type="spellEnd"/>
      <w:r w:rsidRPr="00DD7551">
        <w:rPr>
          <w:rFonts w:ascii="Times New Roman" w:hAnsi="Times New Roman" w:cs="Times New Roman"/>
          <w:b/>
          <w:i/>
          <w:color w:val="262626"/>
          <w:sz w:val="28"/>
          <w:szCs w:val="28"/>
        </w:rPr>
        <w:t xml:space="preserve"> мониторы, аппарат ИВЛ, эндоскопическая стойка, </w:t>
      </w:r>
      <w:proofErr w:type="spellStart"/>
      <w:r w:rsidRPr="00DD7551">
        <w:rPr>
          <w:rFonts w:ascii="Times New Roman" w:hAnsi="Times New Roman" w:cs="Times New Roman"/>
          <w:b/>
          <w:i/>
          <w:color w:val="262626"/>
          <w:sz w:val="28"/>
          <w:szCs w:val="28"/>
        </w:rPr>
        <w:t>рентгенаппарат</w:t>
      </w:r>
      <w:proofErr w:type="spellEnd"/>
      <w:r w:rsidRPr="00DD7551">
        <w:rPr>
          <w:rFonts w:ascii="Times New Roman" w:hAnsi="Times New Roman" w:cs="Times New Roman"/>
          <w:b/>
          <w:i/>
          <w:color w:val="262626"/>
          <w:sz w:val="28"/>
          <w:szCs w:val="28"/>
        </w:rPr>
        <w:t>.</w:t>
      </w:r>
    </w:p>
    <w:p w:rsidR="00787AAC" w:rsidRPr="00DD7551" w:rsidRDefault="00787AAC" w:rsidP="00787AAC">
      <w:pPr>
        <w:spacing w:after="0" w:line="240" w:lineRule="auto"/>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В течении последних пяти лет проводилась активная работа по укреплению материально-технической базы учреждения здравоохранения: произведен  ремонт терапевтического, кардиологического ,неврологического и педиатрического отделений, помещения под зубопротезное отделение, отдельных диагностических  кабинетов (эндоскопического, УЗИ, рентгенологического ), текущий ремонт ограждения ЦРБ, морга,  </w:t>
      </w:r>
      <w:proofErr w:type="spellStart"/>
      <w:r w:rsidRPr="00DD7551">
        <w:rPr>
          <w:rFonts w:ascii="Times New Roman" w:hAnsi="Times New Roman" w:cs="Times New Roman"/>
          <w:b/>
          <w:i/>
          <w:sz w:val="28"/>
          <w:szCs w:val="28"/>
        </w:rPr>
        <w:t>ФАПа</w:t>
      </w:r>
      <w:proofErr w:type="spellEnd"/>
      <w:r w:rsidRPr="00DD7551">
        <w:rPr>
          <w:rFonts w:ascii="Times New Roman" w:hAnsi="Times New Roman" w:cs="Times New Roman"/>
          <w:b/>
          <w:i/>
          <w:sz w:val="28"/>
          <w:szCs w:val="28"/>
        </w:rPr>
        <w:t xml:space="preserve"> </w:t>
      </w:r>
      <w:proofErr w:type="spellStart"/>
      <w:r w:rsidRPr="00DD7551">
        <w:rPr>
          <w:rFonts w:ascii="Times New Roman" w:hAnsi="Times New Roman" w:cs="Times New Roman"/>
          <w:b/>
          <w:i/>
          <w:sz w:val="28"/>
          <w:szCs w:val="28"/>
        </w:rPr>
        <w:t>д</w:t>
      </w:r>
      <w:proofErr w:type="gramStart"/>
      <w:r w:rsidRPr="00DD7551">
        <w:rPr>
          <w:rFonts w:ascii="Times New Roman" w:hAnsi="Times New Roman" w:cs="Times New Roman"/>
          <w:b/>
          <w:i/>
          <w:sz w:val="28"/>
          <w:szCs w:val="28"/>
        </w:rPr>
        <w:t>.З</w:t>
      </w:r>
      <w:proofErr w:type="gramEnd"/>
      <w:r w:rsidRPr="00DD7551">
        <w:rPr>
          <w:rFonts w:ascii="Times New Roman" w:hAnsi="Times New Roman" w:cs="Times New Roman"/>
          <w:b/>
          <w:i/>
          <w:sz w:val="28"/>
          <w:szCs w:val="28"/>
        </w:rPr>
        <w:t>олотеево</w:t>
      </w:r>
      <w:proofErr w:type="spellEnd"/>
      <w:r w:rsidRPr="00DD7551">
        <w:rPr>
          <w:rFonts w:ascii="Times New Roman" w:hAnsi="Times New Roman" w:cs="Times New Roman"/>
          <w:b/>
          <w:i/>
          <w:sz w:val="28"/>
          <w:szCs w:val="28"/>
        </w:rPr>
        <w:t xml:space="preserve">, Червоное Село, </w:t>
      </w:r>
      <w:proofErr w:type="spellStart"/>
      <w:r w:rsidRPr="00DD7551">
        <w:rPr>
          <w:rFonts w:ascii="Times New Roman" w:hAnsi="Times New Roman" w:cs="Times New Roman"/>
          <w:b/>
          <w:i/>
          <w:sz w:val="28"/>
          <w:szCs w:val="28"/>
        </w:rPr>
        <w:t>Теглевичи</w:t>
      </w:r>
      <w:proofErr w:type="spellEnd"/>
      <w:r w:rsidRPr="00DD7551">
        <w:rPr>
          <w:rFonts w:ascii="Times New Roman" w:hAnsi="Times New Roman" w:cs="Times New Roman"/>
          <w:b/>
          <w:i/>
          <w:sz w:val="28"/>
          <w:szCs w:val="28"/>
        </w:rPr>
        <w:t xml:space="preserve">, АВОП </w:t>
      </w:r>
      <w:proofErr w:type="spellStart"/>
      <w:r w:rsidRPr="00DD7551">
        <w:rPr>
          <w:rFonts w:ascii="Times New Roman" w:hAnsi="Times New Roman" w:cs="Times New Roman"/>
          <w:b/>
          <w:i/>
          <w:sz w:val="28"/>
          <w:szCs w:val="28"/>
        </w:rPr>
        <w:t>д.Князево</w:t>
      </w:r>
      <w:proofErr w:type="spellEnd"/>
      <w:r w:rsidRPr="00DD7551">
        <w:rPr>
          <w:rFonts w:ascii="Times New Roman" w:hAnsi="Times New Roman" w:cs="Times New Roman"/>
          <w:b/>
          <w:i/>
          <w:sz w:val="28"/>
          <w:szCs w:val="28"/>
        </w:rPr>
        <w:t xml:space="preserve"> и </w:t>
      </w:r>
      <w:proofErr w:type="spellStart"/>
      <w:r w:rsidRPr="00DD7551">
        <w:rPr>
          <w:rFonts w:ascii="Times New Roman" w:hAnsi="Times New Roman" w:cs="Times New Roman"/>
          <w:b/>
          <w:i/>
          <w:sz w:val="28"/>
          <w:szCs w:val="28"/>
        </w:rPr>
        <w:t>д.Голынка</w:t>
      </w:r>
      <w:proofErr w:type="spellEnd"/>
      <w:r w:rsidRPr="00DD7551">
        <w:rPr>
          <w:rFonts w:ascii="Times New Roman" w:hAnsi="Times New Roman" w:cs="Times New Roman"/>
          <w:b/>
          <w:i/>
          <w:sz w:val="28"/>
          <w:szCs w:val="28"/>
        </w:rPr>
        <w:t xml:space="preserve">, кровли здания гаражей, жилого дома (общежитие). Для оздоровления  населения на базе </w:t>
      </w:r>
      <w:proofErr w:type="spellStart"/>
      <w:r w:rsidRPr="00DD7551">
        <w:rPr>
          <w:rFonts w:ascii="Times New Roman" w:hAnsi="Times New Roman" w:cs="Times New Roman"/>
          <w:b/>
          <w:i/>
          <w:sz w:val="28"/>
          <w:szCs w:val="28"/>
        </w:rPr>
        <w:t>Зельвенской</w:t>
      </w:r>
      <w:proofErr w:type="spellEnd"/>
      <w:r w:rsidRPr="00DD7551">
        <w:rPr>
          <w:rFonts w:ascii="Times New Roman" w:hAnsi="Times New Roman" w:cs="Times New Roman"/>
          <w:b/>
          <w:i/>
          <w:sz w:val="28"/>
          <w:szCs w:val="28"/>
        </w:rPr>
        <w:t xml:space="preserve"> ЦРБ отремонтирован бассейн.</w:t>
      </w:r>
    </w:p>
    <w:p w:rsidR="00787AAC" w:rsidRPr="00DD7551" w:rsidRDefault="00787AAC" w:rsidP="00787AAC">
      <w:pPr>
        <w:spacing w:after="0" w:line="240" w:lineRule="auto"/>
        <w:ind w:left="-284" w:firstLine="708"/>
        <w:jc w:val="both"/>
        <w:rPr>
          <w:rFonts w:ascii="Times New Roman" w:hAnsi="Times New Roman" w:cs="Times New Roman"/>
          <w:b/>
          <w:i/>
          <w:sz w:val="28"/>
          <w:szCs w:val="28"/>
        </w:rPr>
      </w:pPr>
      <w:r w:rsidRPr="00DD7551">
        <w:rPr>
          <w:rFonts w:ascii="Times New Roman" w:hAnsi="Times New Roman" w:cs="Times New Roman"/>
          <w:b/>
          <w:i/>
          <w:sz w:val="28"/>
          <w:szCs w:val="28"/>
        </w:rPr>
        <w:t xml:space="preserve">За последние 5 лет в </w:t>
      </w:r>
      <w:proofErr w:type="spellStart"/>
      <w:r w:rsidRPr="00DD7551">
        <w:rPr>
          <w:rFonts w:ascii="Times New Roman" w:hAnsi="Times New Roman" w:cs="Times New Roman"/>
          <w:b/>
          <w:i/>
          <w:sz w:val="28"/>
          <w:szCs w:val="28"/>
        </w:rPr>
        <w:t>Зельвенском</w:t>
      </w:r>
      <w:proofErr w:type="spellEnd"/>
      <w:r w:rsidRPr="00DD7551">
        <w:rPr>
          <w:rFonts w:ascii="Times New Roman" w:hAnsi="Times New Roman" w:cs="Times New Roman"/>
          <w:b/>
          <w:i/>
          <w:sz w:val="28"/>
          <w:szCs w:val="28"/>
        </w:rPr>
        <w:t xml:space="preserve"> районе внедрены </w:t>
      </w:r>
      <w:proofErr w:type="spellStart"/>
      <w:r w:rsidRPr="00DD7551">
        <w:rPr>
          <w:rFonts w:ascii="Times New Roman" w:hAnsi="Times New Roman" w:cs="Times New Roman"/>
          <w:b/>
          <w:i/>
          <w:sz w:val="28"/>
          <w:szCs w:val="28"/>
        </w:rPr>
        <w:t>скрининговые</w:t>
      </w:r>
      <w:proofErr w:type="spellEnd"/>
      <w:r w:rsidRPr="00DD7551">
        <w:rPr>
          <w:rFonts w:ascii="Times New Roman" w:hAnsi="Times New Roman" w:cs="Times New Roman"/>
          <w:b/>
          <w:i/>
          <w:sz w:val="28"/>
          <w:szCs w:val="28"/>
        </w:rPr>
        <w:t xml:space="preserve"> исследования  </w:t>
      </w:r>
      <w:proofErr w:type="spellStart"/>
      <w:r w:rsidRPr="00DD7551">
        <w:rPr>
          <w:rFonts w:ascii="Times New Roman" w:hAnsi="Times New Roman" w:cs="Times New Roman"/>
          <w:b/>
          <w:i/>
          <w:sz w:val="28"/>
          <w:szCs w:val="28"/>
        </w:rPr>
        <w:t>колоректального</w:t>
      </w:r>
      <w:proofErr w:type="spellEnd"/>
      <w:r w:rsidRPr="00DD7551">
        <w:rPr>
          <w:rFonts w:ascii="Times New Roman" w:hAnsi="Times New Roman" w:cs="Times New Roman"/>
          <w:b/>
          <w:i/>
          <w:sz w:val="28"/>
          <w:szCs w:val="28"/>
        </w:rPr>
        <w:t xml:space="preserve"> рака (8,6% от всей онкологической патологии) и рака предстательной железы (6,7%) - используется методика количественного определения ПСА крови. </w:t>
      </w:r>
      <w:proofErr w:type="gramStart"/>
      <w:r w:rsidRPr="00DD7551">
        <w:rPr>
          <w:rFonts w:ascii="Times New Roman" w:hAnsi="Times New Roman" w:cs="Times New Roman"/>
          <w:b/>
          <w:i/>
          <w:sz w:val="28"/>
          <w:szCs w:val="28"/>
        </w:rPr>
        <w:t xml:space="preserve">Данные заболевания занимают лидирующие позиции в первичной </w:t>
      </w:r>
      <w:proofErr w:type="spellStart"/>
      <w:r w:rsidRPr="00DD7551">
        <w:rPr>
          <w:rFonts w:ascii="Times New Roman" w:hAnsi="Times New Roman" w:cs="Times New Roman"/>
          <w:b/>
          <w:i/>
          <w:sz w:val="28"/>
          <w:szCs w:val="28"/>
        </w:rPr>
        <w:t>онкозаболеваемости</w:t>
      </w:r>
      <w:proofErr w:type="spellEnd"/>
      <w:r w:rsidRPr="00DD7551">
        <w:rPr>
          <w:rFonts w:ascii="Times New Roman" w:hAnsi="Times New Roman" w:cs="Times New Roman"/>
          <w:b/>
          <w:i/>
          <w:sz w:val="28"/>
          <w:szCs w:val="28"/>
        </w:rPr>
        <w:t xml:space="preserve"> в районе.</w:t>
      </w:r>
      <w:proofErr w:type="gramEnd"/>
      <w:r w:rsidRPr="00DD7551">
        <w:rPr>
          <w:rFonts w:ascii="Times New Roman" w:hAnsi="Times New Roman" w:cs="Times New Roman"/>
          <w:b/>
          <w:i/>
          <w:sz w:val="28"/>
          <w:szCs w:val="28"/>
        </w:rPr>
        <w:t xml:space="preserve"> Все пациенты направляются на специализированное лечение  в ГОКБ </w:t>
      </w:r>
      <w:proofErr w:type="spellStart"/>
      <w:r w:rsidRPr="00DD7551">
        <w:rPr>
          <w:rFonts w:ascii="Times New Roman" w:hAnsi="Times New Roman" w:cs="Times New Roman"/>
          <w:b/>
          <w:i/>
          <w:sz w:val="28"/>
          <w:szCs w:val="28"/>
        </w:rPr>
        <w:t>г</w:t>
      </w:r>
      <w:proofErr w:type="gramStart"/>
      <w:r w:rsidRPr="00DD7551">
        <w:rPr>
          <w:rFonts w:ascii="Times New Roman" w:hAnsi="Times New Roman" w:cs="Times New Roman"/>
          <w:b/>
          <w:i/>
          <w:sz w:val="28"/>
          <w:szCs w:val="28"/>
        </w:rPr>
        <w:t>.Г</w:t>
      </w:r>
      <w:proofErr w:type="gramEnd"/>
      <w:r w:rsidRPr="00DD7551">
        <w:rPr>
          <w:rFonts w:ascii="Times New Roman" w:hAnsi="Times New Roman" w:cs="Times New Roman"/>
          <w:b/>
          <w:i/>
          <w:sz w:val="28"/>
          <w:szCs w:val="28"/>
        </w:rPr>
        <w:t>родно</w:t>
      </w:r>
      <w:proofErr w:type="spellEnd"/>
      <w:r w:rsidRPr="00DD7551">
        <w:rPr>
          <w:rFonts w:ascii="Times New Roman" w:hAnsi="Times New Roman" w:cs="Times New Roman"/>
          <w:b/>
          <w:i/>
          <w:sz w:val="28"/>
          <w:szCs w:val="28"/>
        </w:rPr>
        <w:t>.</w:t>
      </w:r>
    </w:p>
    <w:p w:rsidR="00787AAC" w:rsidRPr="00DD7551" w:rsidRDefault="00787AAC" w:rsidP="00787AAC">
      <w:pPr>
        <w:spacing w:after="0" w:line="240" w:lineRule="auto"/>
        <w:ind w:left="-284" w:firstLine="708"/>
        <w:jc w:val="both"/>
        <w:rPr>
          <w:rFonts w:ascii="Times New Roman" w:hAnsi="Times New Roman" w:cs="Times New Roman"/>
          <w:b/>
          <w:i/>
          <w:color w:val="262626"/>
          <w:sz w:val="28"/>
          <w:szCs w:val="28"/>
        </w:rPr>
      </w:pPr>
      <w:r w:rsidRPr="00DD7551">
        <w:rPr>
          <w:rFonts w:ascii="Times New Roman" w:hAnsi="Times New Roman" w:cs="Times New Roman"/>
          <w:b/>
          <w:i/>
          <w:color w:val="262626"/>
          <w:sz w:val="28"/>
          <w:szCs w:val="28"/>
        </w:rPr>
        <w:t>На скорой медицинской помощи функционирует система теле-ЭКГ, которая позволяет в неясных случаях передавать данные ЭКГ врачам  приемного отделения.</w:t>
      </w:r>
    </w:p>
    <w:p w:rsidR="0038417D" w:rsidRDefault="0038417D" w:rsidP="00787AAC">
      <w:pPr>
        <w:pStyle w:val="a3"/>
        <w:rPr>
          <w:rFonts w:ascii="Times New Roman" w:hAnsi="Times New Roman" w:cs="Times New Roman"/>
          <w:b/>
          <w:sz w:val="30"/>
          <w:szCs w:val="30"/>
          <w:lang w:bidi="ru-RU"/>
        </w:rPr>
      </w:pPr>
    </w:p>
    <w:p w:rsidR="004D7D4A" w:rsidRPr="004D7D4A" w:rsidRDefault="004D7D4A" w:rsidP="007D3C76">
      <w:pPr>
        <w:pStyle w:val="a3"/>
        <w:ind w:firstLine="708"/>
        <w:jc w:val="center"/>
        <w:rPr>
          <w:rFonts w:ascii="Times New Roman" w:hAnsi="Times New Roman" w:cs="Times New Roman"/>
          <w:b/>
          <w:sz w:val="30"/>
          <w:szCs w:val="30"/>
          <w:lang w:bidi="ru-RU"/>
        </w:rPr>
      </w:pPr>
      <w:r w:rsidRPr="004D7D4A">
        <w:rPr>
          <w:rFonts w:ascii="Times New Roman" w:hAnsi="Times New Roman" w:cs="Times New Roman"/>
          <w:b/>
          <w:sz w:val="30"/>
          <w:szCs w:val="30"/>
          <w:lang w:bidi="ru-RU"/>
        </w:rPr>
        <w:t xml:space="preserve">Образование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Основными стратегическими направлениями в деятельности органов управления образованием определены повышение качества и доступности образования.</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Сеть учреждений образования Гродненской области представлена 785 учреждениями, в том числе 350 учреждениями общего среднего образования, 314 учреждениями дошкольного образования, 25 учреждениями профессионально-технического образования, 18 учреждениями среднего специального образования, 4 высшими учебными заведениями, 26 учреждениями специального образования и 48 учреждениями дополнительного образования детей и молодежи.</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2012-2017 годах в отрасли образование </w:t>
      </w:r>
      <w:r w:rsidRPr="004D7D4A">
        <w:rPr>
          <w:rFonts w:ascii="Times New Roman" w:hAnsi="Times New Roman" w:cs="Times New Roman"/>
          <w:bCs/>
          <w:sz w:val="30"/>
          <w:szCs w:val="30"/>
          <w:lang w:bidi="ru-RU"/>
        </w:rPr>
        <w:t xml:space="preserve">введены в эксплуатацию 23 объекта </w:t>
      </w:r>
      <w:r w:rsidRPr="004D7D4A">
        <w:rPr>
          <w:rFonts w:ascii="Times New Roman" w:hAnsi="Times New Roman" w:cs="Times New Roman"/>
          <w:sz w:val="30"/>
          <w:szCs w:val="30"/>
          <w:lang w:bidi="ru-RU"/>
        </w:rPr>
        <w:t xml:space="preserve">нового строительства, в том числе </w:t>
      </w:r>
      <w:r w:rsidRPr="004D7D4A">
        <w:rPr>
          <w:rFonts w:ascii="Times New Roman" w:hAnsi="Times New Roman" w:cs="Times New Roman"/>
          <w:bCs/>
          <w:sz w:val="30"/>
          <w:szCs w:val="30"/>
          <w:lang w:bidi="ru-RU"/>
        </w:rPr>
        <w:t xml:space="preserve">4 школы, 10 детских садов, 9 жилых домов </w:t>
      </w:r>
      <w:r w:rsidRPr="004D7D4A">
        <w:rPr>
          <w:rFonts w:ascii="Times New Roman" w:hAnsi="Times New Roman" w:cs="Times New Roman"/>
          <w:sz w:val="30"/>
          <w:szCs w:val="30"/>
          <w:lang w:bidi="ru-RU"/>
        </w:rPr>
        <w:t xml:space="preserve">для детей-сирот.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С целью обеспечения доступности дошкольного образования помимо строительства детских садов создаются дополнительные места за счёт перепрофилирования помещений, оптимизации существующих групп, открытия групп на базе зданий иных учреждений, возобновления функционирования групповых помещений, которые не использовались по </w:t>
      </w:r>
      <w:r w:rsidRPr="004D7D4A">
        <w:rPr>
          <w:rFonts w:ascii="Times New Roman" w:hAnsi="Times New Roman" w:cs="Times New Roman"/>
          <w:sz w:val="30"/>
          <w:szCs w:val="30"/>
          <w:lang w:bidi="ru-RU"/>
        </w:rPr>
        <w:lastRenderedPageBreak/>
        <w:t>функциональному назначению. Таким образом ежегодно создается порядка тысячи дополнительных мест.</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bCs/>
          <w:sz w:val="30"/>
          <w:szCs w:val="30"/>
          <w:lang w:bidi="ru-RU"/>
        </w:rPr>
        <w:t xml:space="preserve">Принятые меры позволили нам в последние два года обеспечить местами </w:t>
      </w:r>
      <w:r w:rsidRPr="004D7D4A">
        <w:rPr>
          <w:rFonts w:ascii="Times New Roman" w:hAnsi="Times New Roman" w:cs="Times New Roman"/>
          <w:sz w:val="30"/>
          <w:szCs w:val="30"/>
          <w:lang w:bidi="ru-RU"/>
        </w:rPr>
        <w:t xml:space="preserve">всех нуждающихся в учреждениях дошкольного образования детей в возрасте от 3 до 6 лет.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Работу по созданию мест в учреждениях дошкольного образования «шаговой» доступности продолжена. В настоящее время ведется строительство трех детских садов, два из них в Гродно, один в Островце.</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Большая работа ведется по созданию достойных условий для получения образования в школе. Много внимания уделяется оснащению учреждений образования новым информационно-коммуникационным оборудованием, современной техникой. В настоящее время в школы поставляется современное оборудование для кабинетов физики, химии и биологии.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Как результат – стабильно высокие результаты в системе общего среднего образования Гродненской области. На протяжении ряда лет регион лидирует в республике по количеству учащихся 9 и 11 классов, сдавших выпускные экзамены на высоком и достаточном уровнях. На заключительном этапе республиканской олимпиады по учебным предметам два года подряд занимает вторую позицию в республиканском рейтинге (2017 г. – 95 дипломов, 2016 – 94). За пять лет 10 учащихся становились победителями международных предметных олимпиад.</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тройке лидеров находятся выпускники области по итогам централизованного тестирования, в 2017 году получено 34  </w:t>
      </w:r>
      <w:proofErr w:type="spellStart"/>
      <w:r w:rsidRPr="004D7D4A">
        <w:rPr>
          <w:rFonts w:ascii="Times New Roman" w:hAnsi="Times New Roman" w:cs="Times New Roman"/>
          <w:sz w:val="30"/>
          <w:szCs w:val="30"/>
          <w:lang w:bidi="ru-RU"/>
        </w:rPr>
        <w:t>стобалльных</w:t>
      </w:r>
      <w:proofErr w:type="spellEnd"/>
      <w:r w:rsidRPr="004D7D4A">
        <w:rPr>
          <w:rFonts w:ascii="Times New Roman" w:hAnsi="Times New Roman" w:cs="Times New Roman"/>
          <w:sz w:val="30"/>
          <w:szCs w:val="30"/>
          <w:lang w:bidi="ru-RU"/>
        </w:rPr>
        <w:t xml:space="preserve"> результата.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На республиканском конкурсе «Компьютер. Интернет. Образование» область 5 последних лет демонстрирует лучший в республике результат.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Высокие результаты профессиональной деятельности демонстрируют педагоги Гродненской области, становясь победителями конкурсов профессионального мастерства</w:t>
      </w:r>
      <w:r>
        <w:rPr>
          <w:rFonts w:ascii="Times New Roman" w:hAnsi="Times New Roman" w:cs="Times New Roman"/>
          <w:sz w:val="30"/>
          <w:szCs w:val="30"/>
          <w:lang w:bidi="ru-RU"/>
        </w:rPr>
        <w:t>.</w:t>
      </w:r>
    </w:p>
    <w:p w:rsidR="004D7D4A" w:rsidRPr="004D7D4A" w:rsidRDefault="004D7D4A" w:rsidP="004D7D4A">
      <w:pPr>
        <w:pStyle w:val="a3"/>
        <w:ind w:firstLine="708"/>
        <w:jc w:val="both"/>
        <w:rPr>
          <w:rFonts w:ascii="Times New Roman" w:hAnsi="Times New Roman" w:cs="Times New Roman"/>
          <w:i/>
          <w:sz w:val="30"/>
          <w:szCs w:val="30"/>
          <w:lang w:bidi="ru-RU"/>
        </w:rPr>
      </w:pPr>
      <w:proofErr w:type="spellStart"/>
      <w:r w:rsidRPr="004D7D4A">
        <w:rPr>
          <w:rFonts w:ascii="Times New Roman" w:hAnsi="Times New Roman" w:cs="Times New Roman"/>
          <w:i/>
          <w:sz w:val="30"/>
          <w:szCs w:val="30"/>
          <w:lang w:bidi="ru-RU"/>
        </w:rPr>
        <w:t>Веретило</w:t>
      </w:r>
      <w:proofErr w:type="spellEnd"/>
      <w:r w:rsidRPr="004D7D4A">
        <w:rPr>
          <w:rFonts w:ascii="Times New Roman" w:hAnsi="Times New Roman" w:cs="Times New Roman"/>
          <w:i/>
          <w:sz w:val="30"/>
          <w:szCs w:val="30"/>
          <w:lang w:bidi="ru-RU"/>
        </w:rPr>
        <w:t xml:space="preserve"> Сергей Евгеньевич, педагог ГУО «Лидский ЦТДМ» </w:t>
      </w:r>
      <w:r w:rsidRPr="004D7D4A">
        <w:rPr>
          <w:rFonts w:ascii="Times New Roman" w:hAnsi="Times New Roman" w:cs="Times New Roman"/>
          <w:sz w:val="30"/>
          <w:szCs w:val="30"/>
          <w:lang w:bidi="ru-RU"/>
        </w:rPr>
        <w:t>–</w:t>
      </w:r>
      <w:r w:rsidRPr="004D7D4A">
        <w:rPr>
          <w:rFonts w:ascii="Times New Roman" w:hAnsi="Times New Roman" w:cs="Times New Roman"/>
          <w:i/>
          <w:sz w:val="30"/>
          <w:szCs w:val="30"/>
          <w:lang w:bidi="ru-RU"/>
        </w:rPr>
        <w:t xml:space="preserve"> победитель заключительного этапа республиканского конкурса профессионального мастерства педагогических работников «Педагог года учреждения дополнительного образования детей и молодежи 2016</w:t>
      </w:r>
      <w:r>
        <w:rPr>
          <w:rFonts w:ascii="Times New Roman" w:hAnsi="Times New Roman" w:cs="Times New Roman"/>
          <w:i/>
          <w:sz w:val="30"/>
          <w:szCs w:val="30"/>
          <w:lang w:bidi="ru-RU"/>
        </w:rPr>
        <w:t>».</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Органами власти принимаются меры по поддержке талантливых, одаренных учащихся и результативно работающих педагогов. Ежегодно учащимся и студентам, достигшим наиболее высоких результатов в интеллектуальном и творческом развитии, вручается премия Гродненского областного исполнительного комитета имени Героя Беларуси Александра </w:t>
      </w:r>
      <w:proofErr w:type="spellStart"/>
      <w:r w:rsidRPr="004D7D4A">
        <w:rPr>
          <w:rFonts w:ascii="Times New Roman" w:hAnsi="Times New Roman" w:cs="Times New Roman"/>
          <w:sz w:val="30"/>
          <w:szCs w:val="30"/>
          <w:lang w:bidi="ru-RU"/>
        </w:rPr>
        <w:t>ИосифовичаДубко</w:t>
      </w:r>
      <w:proofErr w:type="spellEnd"/>
      <w:r w:rsidRPr="004D7D4A">
        <w:rPr>
          <w:rFonts w:ascii="Times New Roman" w:hAnsi="Times New Roman" w:cs="Times New Roman"/>
          <w:sz w:val="30"/>
          <w:szCs w:val="30"/>
          <w:lang w:bidi="ru-RU"/>
        </w:rPr>
        <w:t xml:space="preserve">. За подготовку победителей заключительного этапа республиканской олимпиады по учебным предметам, международных олимпиад, республиканских (международных) смотров-конкурсов детского творчества, республиканской спартакиады школьников решением Гродненского областного Совета депутатов осуществляется поощрение педагогических работников и тренеров-преподавателей по спорту путем </w:t>
      </w:r>
      <w:r w:rsidRPr="004D7D4A">
        <w:rPr>
          <w:rFonts w:ascii="Times New Roman" w:hAnsi="Times New Roman" w:cs="Times New Roman"/>
          <w:sz w:val="30"/>
          <w:szCs w:val="30"/>
          <w:lang w:bidi="ru-RU"/>
        </w:rPr>
        <w:lastRenderedPageBreak/>
        <w:t>присуждения денежных премий. За пять лет за результативную работу с одаренными и талантливыми учащимися были поощрены более 700 педагогов.</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Важным направлением является создание условий для полноценного развития детей и молодежи. В области расширяется </w:t>
      </w:r>
      <w:proofErr w:type="spellStart"/>
      <w:r w:rsidRPr="004D7D4A">
        <w:rPr>
          <w:rFonts w:ascii="Times New Roman" w:hAnsi="Times New Roman" w:cs="Times New Roman"/>
          <w:sz w:val="30"/>
          <w:szCs w:val="30"/>
          <w:lang w:bidi="ru-RU"/>
        </w:rPr>
        <w:t>воспитательно</w:t>
      </w:r>
      <w:proofErr w:type="spellEnd"/>
      <w:r w:rsidRPr="004D7D4A">
        <w:rPr>
          <w:rFonts w:ascii="Times New Roman" w:hAnsi="Times New Roman" w:cs="Times New Roman"/>
          <w:sz w:val="30"/>
          <w:szCs w:val="30"/>
          <w:lang w:bidi="ru-RU"/>
        </w:rPr>
        <w:t xml:space="preserve">-досуговая инфраструктура. Только за последние пять лет введено в эксплуатацию 99 спортивных сооружений в 16 регионах области. Системно осуществляется модернизация спортивных объектов.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 Гродненской области созданы условия для развития творческих способностей и склонностей детей разного возраста. Это и многопрофильные учреждения (их 23), где ребята могут заниматься вокалом, танцевать, рисовать, выполнять из соломы, бисера, кожи, глины и теста потрясающие изделия и сувениры.</w:t>
      </w:r>
    </w:p>
    <w:p w:rsidR="004D7D4A" w:rsidRPr="004D7D4A" w:rsidRDefault="004D7D4A" w:rsidP="004D7D4A">
      <w:pPr>
        <w:pStyle w:val="a3"/>
        <w:ind w:firstLine="708"/>
        <w:jc w:val="both"/>
        <w:rPr>
          <w:rFonts w:ascii="Times New Roman" w:hAnsi="Times New Roman" w:cs="Times New Roman"/>
          <w:sz w:val="30"/>
          <w:szCs w:val="30"/>
          <w:lang w:val="be-BY" w:bidi="ru-RU"/>
        </w:rPr>
      </w:pPr>
      <w:r w:rsidRPr="004D7D4A">
        <w:rPr>
          <w:rFonts w:ascii="Times New Roman" w:hAnsi="Times New Roman" w:cs="Times New Roman"/>
          <w:sz w:val="30"/>
          <w:szCs w:val="30"/>
          <w:lang w:bidi="ru-RU"/>
        </w:rPr>
        <w:t>В 24 профильных центрах школьники занимаются в кружках по туристическому, эколого-биологическому профилям. Развиваются новые направления в техническом творчестве: 3-</w:t>
      </w:r>
      <w:r w:rsidRPr="004D7D4A">
        <w:rPr>
          <w:rFonts w:ascii="Times New Roman" w:hAnsi="Times New Roman" w:cs="Times New Roman"/>
          <w:sz w:val="30"/>
          <w:szCs w:val="30"/>
          <w:lang w:val="en-US" w:bidi="ru-RU"/>
        </w:rPr>
        <w:t>D</w:t>
      </w:r>
      <w:r w:rsidRPr="004D7D4A">
        <w:rPr>
          <w:rFonts w:ascii="Times New Roman" w:hAnsi="Times New Roman" w:cs="Times New Roman"/>
          <w:sz w:val="30"/>
          <w:szCs w:val="30"/>
          <w:lang w:val="be-BY" w:bidi="ru-RU"/>
        </w:rPr>
        <w:t>моделирование, роботехника.</w:t>
      </w:r>
    </w:p>
    <w:p w:rsidR="004D7D4A" w:rsidRPr="004D7D4A" w:rsidRDefault="004D7D4A" w:rsidP="004D7D4A">
      <w:pPr>
        <w:pStyle w:val="a3"/>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Во всех районах работают учреждениях дополнительного образования детей и молодежи. Их в области - 41. </w:t>
      </w:r>
    </w:p>
    <w:p w:rsid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Ежегодно школьники имеют возможность укреплять свое здоровье в 18 стационарных оздоровительных лагерях. Новая форма оздоровления в Гродненской области – открытие лагерей на базе учреждений образования в живописных местах, имеющих хорошие бытовые условия, - позволяет оздоровить на 2 тысячи больше детей, чем предыдущем. Ежегодно в лагерях всех типов </w:t>
      </w:r>
      <w:proofErr w:type="spellStart"/>
      <w:r w:rsidRPr="004D7D4A">
        <w:rPr>
          <w:rFonts w:ascii="Times New Roman" w:hAnsi="Times New Roman" w:cs="Times New Roman"/>
          <w:sz w:val="30"/>
          <w:szCs w:val="30"/>
          <w:lang w:bidi="ru-RU"/>
        </w:rPr>
        <w:t>оздоравливается</w:t>
      </w:r>
      <w:proofErr w:type="spellEnd"/>
      <w:r w:rsidRPr="004D7D4A">
        <w:rPr>
          <w:rFonts w:ascii="Times New Roman" w:hAnsi="Times New Roman" w:cs="Times New Roman"/>
          <w:sz w:val="30"/>
          <w:szCs w:val="30"/>
          <w:lang w:bidi="ru-RU"/>
        </w:rPr>
        <w:t xml:space="preserve"> более 40 тысяч детей.</w:t>
      </w:r>
    </w:p>
    <w:p w:rsidR="00787AAC" w:rsidRPr="00BB709A" w:rsidRDefault="00787AAC" w:rsidP="00787AAC">
      <w:pPr>
        <w:spacing w:after="0" w:line="240" w:lineRule="auto"/>
        <w:ind w:left="-284" w:firstLine="624"/>
        <w:jc w:val="both"/>
        <w:rPr>
          <w:rFonts w:ascii="Times New Roman" w:eastAsia="Times New Roman" w:hAnsi="Times New Roman" w:cs="Times New Roman"/>
          <w:b/>
          <w:i/>
          <w:sz w:val="28"/>
          <w:szCs w:val="28"/>
          <w:lang w:eastAsia="ru-RU"/>
        </w:rPr>
      </w:pPr>
      <w:proofErr w:type="gramStart"/>
      <w:r w:rsidRPr="00BB709A">
        <w:rPr>
          <w:rFonts w:ascii="Times New Roman" w:eastAsia="Times New Roman" w:hAnsi="Times New Roman" w:cs="Times New Roman"/>
          <w:b/>
          <w:i/>
          <w:sz w:val="28"/>
          <w:szCs w:val="28"/>
          <w:lang w:eastAsia="ru-RU"/>
        </w:rPr>
        <w:t xml:space="preserve">В </w:t>
      </w:r>
      <w:proofErr w:type="spellStart"/>
      <w:r w:rsidRPr="00DD7551">
        <w:rPr>
          <w:rFonts w:ascii="Times New Roman" w:eastAsia="Times New Roman" w:hAnsi="Times New Roman" w:cs="Times New Roman"/>
          <w:b/>
          <w:i/>
          <w:sz w:val="28"/>
          <w:szCs w:val="28"/>
          <w:lang w:eastAsia="ru-RU"/>
        </w:rPr>
        <w:t>Зельвенском</w:t>
      </w:r>
      <w:proofErr w:type="spellEnd"/>
      <w:r w:rsidRPr="00DD7551">
        <w:rPr>
          <w:rFonts w:ascii="Times New Roman" w:eastAsia="Times New Roman" w:hAnsi="Times New Roman" w:cs="Times New Roman"/>
          <w:b/>
          <w:i/>
          <w:sz w:val="28"/>
          <w:szCs w:val="28"/>
          <w:lang w:eastAsia="ru-RU"/>
        </w:rPr>
        <w:t xml:space="preserve"> </w:t>
      </w:r>
      <w:r w:rsidRPr="00BB709A">
        <w:rPr>
          <w:rFonts w:ascii="Times New Roman" w:eastAsia="Times New Roman" w:hAnsi="Times New Roman" w:cs="Times New Roman"/>
          <w:b/>
          <w:i/>
          <w:sz w:val="28"/>
          <w:szCs w:val="28"/>
          <w:lang w:eastAsia="ru-RU"/>
        </w:rPr>
        <w:t>районе действует вариативная сеть из 2</w:t>
      </w:r>
      <w:r w:rsidRPr="00BB709A">
        <w:rPr>
          <w:rFonts w:ascii="Times New Roman" w:eastAsia="Times New Roman" w:hAnsi="Times New Roman" w:cs="Times New Roman"/>
          <w:b/>
          <w:i/>
          <w:sz w:val="28"/>
          <w:szCs w:val="28"/>
          <w:lang w:val="be-BY" w:eastAsia="ru-RU"/>
        </w:rPr>
        <w:t>2</w:t>
      </w:r>
      <w:r w:rsidRPr="00BB709A">
        <w:rPr>
          <w:rFonts w:ascii="Times New Roman" w:eastAsia="Times New Roman" w:hAnsi="Times New Roman" w:cs="Times New Roman"/>
          <w:b/>
          <w:i/>
          <w:sz w:val="28"/>
          <w:szCs w:val="28"/>
          <w:lang w:eastAsia="ru-RU"/>
        </w:rPr>
        <w:t xml:space="preserve"> учреждений образования, из них 12 учреждений общего среднего образования (5 учебно-педагогических комплексов «сад-школа», 6 средних школ, 1 гимназия), 5 учреждений дошкольного образования (2 дошкольных центра развития, 2 ясли-сада, 1 детский сад), 1 социально-педагогический центр, 1 центр коррекционно-развивающего обучения и реабилитации, 1 учреждение дополнительного образования детей и молодёжи, 1 оздоровительный лагерь, детско-юношеская спортивная</w:t>
      </w:r>
      <w:proofErr w:type="gramEnd"/>
      <w:r w:rsidRPr="00BB709A">
        <w:rPr>
          <w:rFonts w:ascii="Times New Roman" w:eastAsia="Times New Roman" w:hAnsi="Times New Roman" w:cs="Times New Roman"/>
          <w:b/>
          <w:i/>
          <w:sz w:val="28"/>
          <w:szCs w:val="28"/>
          <w:lang w:eastAsia="ru-RU"/>
        </w:rPr>
        <w:t xml:space="preserve"> школа. Из 2</w:t>
      </w:r>
      <w:r w:rsidRPr="00BB709A">
        <w:rPr>
          <w:rFonts w:ascii="Times New Roman" w:eastAsia="Times New Roman" w:hAnsi="Times New Roman" w:cs="Times New Roman"/>
          <w:b/>
          <w:i/>
          <w:sz w:val="28"/>
          <w:szCs w:val="28"/>
          <w:lang w:val="be-BY" w:eastAsia="ru-RU"/>
        </w:rPr>
        <w:t>2</w:t>
      </w:r>
      <w:r w:rsidRPr="00BB709A">
        <w:rPr>
          <w:rFonts w:ascii="Times New Roman" w:eastAsia="Times New Roman" w:hAnsi="Times New Roman" w:cs="Times New Roman"/>
          <w:b/>
          <w:i/>
          <w:sz w:val="28"/>
          <w:szCs w:val="28"/>
          <w:lang w:eastAsia="ru-RU"/>
        </w:rPr>
        <w:t xml:space="preserve"> учреждений 12 находятся в сельской местности. </w:t>
      </w:r>
    </w:p>
    <w:p w:rsidR="00787AAC" w:rsidRPr="00BB709A" w:rsidRDefault="00787AAC" w:rsidP="00787AAC">
      <w:pPr>
        <w:spacing w:after="0" w:line="240" w:lineRule="auto"/>
        <w:ind w:left="-284" w:firstLine="624"/>
        <w:jc w:val="both"/>
        <w:rPr>
          <w:rFonts w:ascii="Times New Roman" w:eastAsia="Times New Roman" w:hAnsi="Times New Roman" w:cs="Times New Roman"/>
          <w:b/>
          <w:i/>
          <w:color w:val="000000"/>
          <w:sz w:val="28"/>
          <w:szCs w:val="28"/>
          <w:lang w:eastAsia="ru-RU"/>
        </w:rPr>
      </w:pPr>
      <w:r w:rsidRPr="00BB709A">
        <w:rPr>
          <w:rFonts w:ascii="Times New Roman" w:eastAsia="Times New Roman" w:hAnsi="Times New Roman" w:cs="Times New Roman"/>
          <w:b/>
          <w:i/>
          <w:sz w:val="28"/>
          <w:szCs w:val="28"/>
          <w:lang w:eastAsia="ru-RU"/>
        </w:rPr>
        <w:t>С 1 сентября 2017 г. р</w:t>
      </w:r>
      <w:r w:rsidRPr="00BB709A">
        <w:rPr>
          <w:rFonts w:ascii="Times New Roman" w:eastAsia="Times New Roman" w:hAnsi="Times New Roman" w:cs="Times New Roman"/>
          <w:b/>
          <w:i/>
          <w:color w:val="000000"/>
          <w:sz w:val="28"/>
          <w:szCs w:val="28"/>
          <w:lang w:eastAsia="ru-RU"/>
        </w:rPr>
        <w:t xml:space="preserve">еорганизовано ГУО «Учебно-педагогический комплекс </w:t>
      </w:r>
      <w:proofErr w:type="spellStart"/>
      <w:r w:rsidRPr="00BB709A">
        <w:rPr>
          <w:rFonts w:ascii="Times New Roman" w:eastAsia="Times New Roman" w:hAnsi="Times New Roman" w:cs="Times New Roman"/>
          <w:b/>
          <w:i/>
          <w:color w:val="000000"/>
          <w:sz w:val="28"/>
          <w:szCs w:val="28"/>
          <w:lang w:eastAsia="ru-RU"/>
        </w:rPr>
        <w:t>Ялуцевичский</w:t>
      </w:r>
      <w:proofErr w:type="spellEnd"/>
      <w:r w:rsidRPr="00BB709A">
        <w:rPr>
          <w:rFonts w:ascii="Times New Roman" w:eastAsia="Times New Roman" w:hAnsi="Times New Roman" w:cs="Times New Roman"/>
          <w:b/>
          <w:i/>
          <w:color w:val="000000"/>
          <w:sz w:val="28"/>
          <w:szCs w:val="28"/>
          <w:lang w:eastAsia="ru-RU"/>
        </w:rPr>
        <w:t xml:space="preserve"> детский сад-базовая школа» в ГУО «Учебно-педагогический комплекс </w:t>
      </w:r>
      <w:proofErr w:type="spellStart"/>
      <w:r w:rsidRPr="00BB709A">
        <w:rPr>
          <w:rFonts w:ascii="Times New Roman" w:eastAsia="Times New Roman" w:hAnsi="Times New Roman" w:cs="Times New Roman"/>
          <w:b/>
          <w:i/>
          <w:color w:val="000000"/>
          <w:sz w:val="28"/>
          <w:szCs w:val="28"/>
          <w:lang w:eastAsia="ru-RU"/>
        </w:rPr>
        <w:t>Ялуцевичский</w:t>
      </w:r>
      <w:proofErr w:type="spellEnd"/>
      <w:r w:rsidRPr="00BB709A">
        <w:rPr>
          <w:rFonts w:ascii="Times New Roman" w:eastAsia="Times New Roman" w:hAnsi="Times New Roman" w:cs="Times New Roman"/>
          <w:b/>
          <w:i/>
          <w:color w:val="000000"/>
          <w:sz w:val="28"/>
          <w:szCs w:val="28"/>
          <w:lang w:eastAsia="ru-RU"/>
        </w:rPr>
        <w:t xml:space="preserve"> детский сад-начальная школа», ГУО «Центр творчества детей и молодежи </w:t>
      </w:r>
      <w:proofErr w:type="spellStart"/>
      <w:r w:rsidRPr="00BB709A">
        <w:rPr>
          <w:rFonts w:ascii="Times New Roman" w:eastAsia="Times New Roman" w:hAnsi="Times New Roman" w:cs="Times New Roman"/>
          <w:b/>
          <w:i/>
          <w:color w:val="000000"/>
          <w:sz w:val="28"/>
          <w:szCs w:val="28"/>
          <w:lang w:eastAsia="ru-RU"/>
        </w:rPr>
        <w:t>г.п</w:t>
      </w:r>
      <w:proofErr w:type="gramStart"/>
      <w:r w:rsidRPr="00BB709A">
        <w:rPr>
          <w:rFonts w:ascii="Times New Roman" w:eastAsia="Times New Roman" w:hAnsi="Times New Roman" w:cs="Times New Roman"/>
          <w:b/>
          <w:i/>
          <w:color w:val="000000"/>
          <w:sz w:val="28"/>
          <w:szCs w:val="28"/>
          <w:lang w:eastAsia="ru-RU"/>
        </w:rPr>
        <w:t>.З</w:t>
      </w:r>
      <w:proofErr w:type="gramEnd"/>
      <w:r w:rsidRPr="00BB709A">
        <w:rPr>
          <w:rFonts w:ascii="Times New Roman" w:eastAsia="Times New Roman" w:hAnsi="Times New Roman" w:cs="Times New Roman"/>
          <w:b/>
          <w:i/>
          <w:color w:val="000000"/>
          <w:sz w:val="28"/>
          <w:szCs w:val="28"/>
          <w:lang w:eastAsia="ru-RU"/>
        </w:rPr>
        <w:t>ельва</w:t>
      </w:r>
      <w:proofErr w:type="spellEnd"/>
      <w:r w:rsidRPr="00BB709A">
        <w:rPr>
          <w:rFonts w:ascii="Times New Roman" w:eastAsia="Times New Roman" w:hAnsi="Times New Roman" w:cs="Times New Roman"/>
          <w:b/>
          <w:i/>
          <w:color w:val="000000"/>
          <w:sz w:val="28"/>
          <w:szCs w:val="28"/>
          <w:lang w:eastAsia="ru-RU"/>
        </w:rPr>
        <w:t>» путем присоединения к нему государственного учреждения образования «</w:t>
      </w:r>
      <w:proofErr w:type="spellStart"/>
      <w:r w:rsidRPr="00BB709A">
        <w:rPr>
          <w:rFonts w:ascii="Times New Roman" w:eastAsia="Times New Roman" w:hAnsi="Times New Roman" w:cs="Times New Roman"/>
          <w:b/>
          <w:i/>
          <w:color w:val="000000"/>
          <w:sz w:val="28"/>
          <w:szCs w:val="28"/>
          <w:lang w:eastAsia="ru-RU"/>
        </w:rPr>
        <w:t>Зельвенский</w:t>
      </w:r>
      <w:proofErr w:type="spellEnd"/>
      <w:r w:rsidRPr="00BB709A">
        <w:rPr>
          <w:rFonts w:ascii="Times New Roman" w:eastAsia="Times New Roman" w:hAnsi="Times New Roman" w:cs="Times New Roman"/>
          <w:b/>
          <w:i/>
          <w:color w:val="000000"/>
          <w:sz w:val="28"/>
          <w:szCs w:val="28"/>
          <w:lang w:eastAsia="ru-RU"/>
        </w:rPr>
        <w:t xml:space="preserve"> районный центр туризма и краеведения детей и молодежи», проведена оптимизация наполняемости классов в средних школах № 2, 3 </w:t>
      </w:r>
      <w:proofErr w:type="spellStart"/>
      <w:r w:rsidRPr="00BB709A">
        <w:rPr>
          <w:rFonts w:ascii="Times New Roman" w:eastAsia="Times New Roman" w:hAnsi="Times New Roman" w:cs="Times New Roman"/>
          <w:b/>
          <w:i/>
          <w:color w:val="000000"/>
          <w:sz w:val="28"/>
          <w:szCs w:val="28"/>
          <w:lang w:eastAsia="ru-RU"/>
        </w:rPr>
        <w:t>г.п</w:t>
      </w:r>
      <w:proofErr w:type="spellEnd"/>
      <w:r w:rsidRPr="00BB709A">
        <w:rPr>
          <w:rFonts w:ascii="Times New Roman" w:eastAsia="Times New Roman" w:hAnsi="Times New Roman" w:cs="Times New Roman"/>
          <w:b/>
          <w:i/>
          <w:color w:val="000000"/>
          <w:sz w:val="28"/>
          <w:szCs w:val="28"/>
          <w:lang w:eastAsia="ru-RU"/>
        </w:rPr>
        <w:t xml:space="preserve">. Зельва, закрыта группа детей ясельного возраста в ДЦРР № 1 </w:t>
      </w:r>
      <w:proofErr w:type="spellStart"/>
      <w:r w:rsidRPr="00BB709A">
        <w:rPr>
          <w:rFonts w:ascii="Times New Roman" w:eastAsia="Times New Roman" w:hAnsi="Times New Roman" w:cs="Times New Roman"/>
          <w:b/>
          <w:i/>
          <w:color w:val="000000"/>
          <w:sz w:val="28"/>
          <w:szCs w:val="28"/>
          <w:lang w:eastAsia="ru-RU"/>
        </w:rPr>
        <w:t>г.п</w:t>
      </w:r>
      <w:proofErr w:type="spellEnd"/>
      <w:r w:rsidRPr="00BB709A">
        <w:rPr>
          <w:rFonts w:ascii="Times New Roman" w:eastAsia="Times New Roman" w:hAnsi="Times New Roman" w:cs="Times New Roman"/>
          <w:b/>
          <w:i/>
          <w:color w:val="000000"/>
          <w:sz w:val="28"/>
          <w:szCs w:val="28"/>
          <w:lang w:eastAsia="ru-RU"/>
        </w:rPr>
        <w:t>. З</w:t>
      </w:r>
      <w:r w:rsidRPr="00DD7551">
        <w:rPr>
          <w:rFonts w:ascii="Times New Roman" w:eastAsia="Times New Roman" w:hAnsi="Times New Roman" w:cs="Times New Roman"/>
          <w:b/>
          <w:i/>
          <w:color w:val="000000"/>
          <w:sz w:val="28"/>
          <w:szCs w:val="28"/>
          <w:lang w:eastAsia="ru-RU"/>
        </w:rPr>
        <w:t>ельва, 1 группа продленного дня</w:t>
      </w:r>
      <w:r w:rsidRPr="00BB709A">
        <w:rPr>
          <w:rFonts w:ascii="Times New Roman" w:eastAsia="Times New Roman" w:hAnsi="Times New Roman" w:cs="Times New Roman"/>
          <w:b/>
          <w:i/>
          <w:color w:val="000000"/>
          <w:sz w:val="28"/>
          <w:szCs w:val="28"/>
          <w:lang w:eastAsia="ru-RU"/>
        </w:rPr>
        <w:t>.</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t xml:space="preserve">В районе функционирует 10 учреждений, реализующих программу дошкольного образования, из них - 2 дошкольных центра развития ребенка, 2 </w:t>
      </w:r>
      <w:proofErr w:type="gramStart"/>
      <w:r w:rsidRPr="00BB709A">
        <w:rPr>
          <w:rFonts w:ascii="Times New Roman" w:hAnsi="Times New Roman" w:cs="Times New Roman"/>
          <w:b/>
          <w:i/>
          <w:sz w:val="28"/>
          <w:szCs w:val="28"/>
          <w:lang w:bidi="ru-RU"/>
        </w:rPr>
        <w:t>ясли-сада</w:t>
      </w:r>
      <w:proofErr w:type="gramEnd"/>
      <w:r w:rsidRPr="00BB709A">
        <w:rPr>
          <w:rFonts w:ascii="Times New Roman" w:hAnsi="Times New Roman" w:cs="Times New Roman"/>
          <w:b/>
          <w:i/>
          <w:sz w:val="28"/>
          <w:szCs w:val="28"/>
          <w:lang w:bidi="ru-RU"/>
        </w:rPr>
        <w:t>, 1 детский сад, 5 учебно-педагогических комплексов, в которых воспитывается 439 детей.</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lastRenderedPageBreak/>
        <w:t>В течение последних двух лет стабильной остается результативность участия в третьем этапе республиканской олимпиады - 5 дипломов. Ученики района на заключительном этапе республиканской олимпиады по учебным предметам завоевали 3 диплома (2016 - 1), поднявшись в областном рейтинге с 12 на 5 позицию.</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t xml:space="preserve">По результатам централизованного тестирования по 8 предметам из 10 районный показатель выше областной (2016 - по 7 из 12). 13 учеников имеют результаты, выше 90 баллов. </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t xml:space="preserve">Высокие результаты профессиональной деятельности демонстрируют педагоги </w:t>
      </w:r>
      <w:proofErr w:type="spellStart"/>
      <w:r w:rsidRPr="00BB709A">
        <w:rPr>
          <w:rFonts w:ascii="Times New Roman" w:hAnsi="Times New Roman" w:cs="Times New Roman"/>
          <w:b/>
          <w:i/>
          <w:sz w:val="28"/>
          <w:szCs w:val="28"/>
          <w:lang w:bidi="ru-RU"/>
        </w:rPr>
        <w:t>Зельвенского</w:t>
      </w:r>
      <w:proofErr w:type="spellEnd"/>
      <w:r w:rsidRPr="00BB709A">
        <w:rPr>
          <w:rFonts w:ascii="Times New Roman" w:hAnsi="Times New Roman" w:cs="Times New Roman"/>
          <w:b/>
          <w:i/>
          <w:sz w:val="28"/>
          <w:szCs w:val="28"/>
          <w:lang w:bidi="ru-RU"/>
        </w:rPr>
        <w:t xml:space="preserve"> района, становясь победителями конкурсов профессионального мастерства.</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proofErr w:type="spellStart"/>
      <w:r w:rsidRPr="00BB709A">
        <w:rPr>
          <w:rFonts w:ascii="Times New Roman" w:hAnsi="Times New Roman" w:cs="Times New Roman"/>
          <w:b/>
          <w:i/>
          <w:sz w:val="28"/>
          <w:szCs w:val="28"/>
          <w:lang w:bidi="ru-RU"/>
        </w:rPr>
        <w:t>Ступчик</w:t>
      </w:r>
      <w:proofErr w:type="spellEnd"/>
      <w:r w:rsidRPr="00BB709A">
        <w:rPr>
          <w:rFonts w:ascii="Times New Roman" w:hAnsi="Times New Roman" w:cs="Times New Roman"/>
          <w:b/>
          <w:i/>
          <w:sz w:val="28"/>
          <w:szCs w:val="28"/>
          <w:lang w:bidi="ru-RU"/>
        </w:rPr>
        <w:t xml:space="preserve"> Наталья Федоровна, учитель белорусского языка и литературы ГУО «Средняя школа № 2 </w:t>
      </w:r>
      <w:proofErr w:type="spellStart"/>
      <w:r w:rsidRPr="00BB709A">
        <w:rPr>
          <w:rFonts w:ascii="Times New Roman" w:hAnsi="Times New Roman" w:cs="Times New Roman"/>
          <w:b/>
          <w:i/>
          <w:sz w:val="28"/>
          <w:szCs w:val="28"/>
          <w:lang w:bidi="ru-RU"/>
        </w:rPr>
        <w:t>г.п</w:t>
      </w:r>
      <w:proofErr w:type="spellEnd"/>
      <w:r w:rsidRPr="00BB709A">
        <w:rPr>
          <w:rFonts w:ascii="Times New Roman" w:hAnsi="Times New Roman" w:cs="Times New Roman"/>
          <w:b/>
          <w:i/>
          <w:sz w:val="28"/>
          <w:szCs w:val="28"/>
          <w:lang w:bidi="ru-RU"/>
        </w:rPr>
        <w:t>. Зельва» – победитель областного этапа республиканского конкурса «Учитель года 2017» в номинации «Русский язык и литература.</w:t>
      </w:r>
      <w:r w:rsidRPr="00DD7551">
        <w:rPr>
          <w:rFonts w:ascii="Times New Roman" w:hAnsi="Times New Roman" w:cs="Times New Roman"/>
          <w:b/>
          <w:i/>
          <w:sz w:val="28"/>
          <w:szCs w:val="28"/>
          <w:lang w:bidi="ru-RU"/>
        </w:rPr>
        <w:t xml:space="preserve"> Белорусский язык и литература</w:t>
      </w:r>
      <w:r w:rsidRPr="00BB709A">
        <w:rPr>
          <w:rFonts w:ascii="Times New Roman" w:hAnsi="Times New Roman" w:cs="Times New Roman"/>
          <w:b/>
          <w:i/>
          <w:sz w:val="28"/>
          <w:szCs w:val="28"/>
          <w:lang w:bidi="ru-RU"/>
        </w:rPr>
        <w:t>».</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t>Органами власти района и области принимаются меры по поддержке талантливых, одаренных учащихся и результативно работающих педагогов</w:t>
      </w:r>
      <w:r w:rsidRPr="00BB709A">
        <w:rPr>
          <w:rFonts w:ascii="Times New Roman" w:hAnsi="Times New Roman" w:cs="Times New Roman"/>
          <w:b/>
          <w:i/>
          <w:color w:val="FF0000"/>
          <w:sz w:val="28"/>
          <w:szCs w:val="28"/>
          <w:lang w:bidi="ru-RU"/>
        </w:rPr>
        <w:t xml:space="preserve">. </w:t>
      </w:r>
      <w:r w:rsidRPr="00BB709A">
        <w:rPr>
          <w:rFonts w:ascii="Times New Roman" w:hAnsi="Times New Roman" w:cs="Times New Roman"/>
          <w:b/>
          <w:i/>
          <w:sz w:val="28"/>
          <w:szCs w:val="28"/>
          <w:lang w:bidi="ru-RU"/>
        </w:rPr>
        <w:t xml:space="preserve">За 12 лет более 400 человек стали стипендиатами премии </w:t>
      </w:r>
      <w:proofErr w:type="spellStart"/>
      <w:r w:rsidRPr="00BB709A">
        <w:rPr>
          <w:rFonts w:ascii="Times New Roman" w:hAnsi="Times New Roman" w:cs="Times New Roman"/>
          <w:b/>
          <w:i/>
          <w:sz w:val="28"/>
          <w:szCs w:val="28"/>
          <w:lang w:bidi="ru-RU"/>
        </w:rPr>
        <w:t>Зельвенского</w:t>
      </w:r>
      <w:proofErr w:type="spellEnd"/>
      <w:r w:rsidRPr="00BB709A">
        <w:rPr>
          <w:rFonts w:ascii="Times New Roman" w:hAnsi="Times New Roman" w:cs="Times New Roman"/>
          <w:b/>
          <w:i/>
          <w:sz w:val="28"/>
          <w:szCs w:val="28"/>
          <w:lang w:bidi="ru-RU"/>
        </w:rPr>
        <w:t xml:space="preserve"> районного исполнительного комитета. </w:t>
      </w:r>
    </w:p>
    <w:p w:rsidR="00787AAC" w:rsidRPr="00BB709A" w:rsidRDefault="00787AAC" w:rsidP="00787AAC">
      <w:pPr>
        <w:spacing w:after="0" w:line="240" w:lineRule="auto"/>
        <w:ind w:left="-284" w:firstLine="708"/>
        <w:jc w:val="both"/>
        <w:rPr>
          <w:rFonts w:ascii="Times New Roman" w:hAnsi="Times New Roman" w:cs="Times New Roman"/>
          <w:b/>
          <w:i/>
          <w:color w:val="FF0000"/>
          <w:sz w:val="28"/>
          <w:szCs w:val="28"/>
          <w:lang w:bidi="ru-RU"/>
        </w:rPr>
      </w:pPr>
      <w:r w:rsidRPr="00BB709A">
        <w:rPr>
          <w:rFonts w:ascii="Times New Roman" w:hAnsi="Times New Roman" w:cs="Times New Roman"/>
          <w:b/>
          <w:i/>
          <w:sz w:val="28"/>
          <w:szCs w:val="28"/>
          <w:lang w:bidi="ru-RU"/>
        </w:rPr>
        <w:t xml:space="preserve">За последние 5 лет 11 учащимся района, достигшим наиболее высоких результатов в интеллектуальном и творческом развитии, вручена премия Гродненского областного исполнительного </w:t>
      </w:r>
      <w:proofErr w:type="gramStart"/>
      <w:r w:rsidRPr="00BB709A">
        <w:rPr>
          <w:rFonts w:ascii="Times New Roman" w:hAnsi="Times New Roman" w:cs="Times New Roman"/>
          <w:b/>
          <w:i/>
          <w:sz w:val="28"/>
          <w:szCs w:val="28"/>
          <w:lang w:bidi="ru-RU"/>
        </w:rPr>
        <w:t>комитета имени Героя Беларуси Александра Иосифовича</w:t>
      </w:r>
      <w:proofErr w:type="gramEnd"/>
      <w:r w:rsidRPr="00BB709A">
        <w:rPr>
          <w:rFonts w:ascii="Times New Roman" w:hAnsi="Times New Roman" w:cs="Times New Roman"/>
          <w:b/>
          <w:i/>
          <w:sz w:val="28"/>
          <w:szCs w:val="28"/>
          <w:lang w:bidi="ru-RU"/>
        </w:rPr>
        <w:t xml:space="preserve"> </w:t>
      </w:r>
      <w:proofErr w:type="spellStart"/>
      <w:r w:rsidRPr="00BB709A">
        <w:rPr>
          <w:rFonts w:ascii="Times New Roman" w:hAnsi="Times New Roman" w:cs="Times New Roman"/>
          <w:b/>
          <w:i/>
          <w:sz w:val="28"/>
          <w:szCs w:val="28"/>
          <w:lang w:bidi="ru-RU"/>
        </w:rPr>
        <w:t>Дубко</w:t>
      </w:r>
      <w:proofErr w:type="spellEnd"/>
      <w:r w:rsidRPr="00BB709A">
        <w:rPr>
          <w:rFonts w:ascii="Times New Roman" w:hAnsi="Times New Roman" w:cs="Times New Roman"/>
          <w:b/>
          <w:i/>
          <w:sz w:val="28"/>
          <w:szCs w:val="28"/>
          <w:lang w:bidi="ru-RU"/>
        </w:rPr>
        <w:t xml:space="preserve">. </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t xml:space="preserve">За пять лет за результативную работу с одаренными и талантливыми учащимися были поощрены </w:t>
      </w:r>
      <w:r w:rsidRPr="00BB709A">
        <w:rPr>
          <w:rFonts w:ascii="Times New Roman" w:hAnsi="Times New Roman" w:cs="Times New Roman"/>
          <w:b/>
          <w:i/>
          <w:sz w:val="28"/>
          <w:szCs w:val="28"/>
          <w:lang w:val="be-BY" w:bidi="ru-RU"/>
        </w:rPr>
        <w:t>около 4</w:t>
      </w:r>
      <w:r w:rsidRPr="00BB709A">
        <w:rPr>
          <w:rFonts w:ascii="Times New Roman" w:hAnsi="Times New Roman" w:cs="Times New Roman"/>
          <w:b/>
          <w:i/>
          <w:sz w:val="28"/>
          <w:szCs w:val="28"/>
          <w:lang w:bidi="ru-RU"/>
        </w:rPr>
        <w:t>0 педагогов.</w:t>
      </w:r>
    </w:p>
    <w:p w:rsidR="00787AAC" w:rsidRPr="00DD7551"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t xml:space="preserve">В </w:t>
      </w:r>
      <w:proofErr w:type="spellStart"/>
      <w:r w:rsidRPr="00BB709A">
        <w:rPr>
          <w:rFonts w:ascii="Times New Roman" w:hAnsi="Times New Roman" w:cs="Times New Roman"/>
          <w:b/>
          <w:i/>
          <w:sz w:val="28"/>
          <w:szCs w:val="28"/>
          <w:lang w:bidi="ru-RU"/>
        </w:rPr>
        <w:t>Зельвенском</w:t>
      </w:r>
      <w:proofErr w:type="spellEnd"/>
      <w:r w:rsidRPr="00BB709A">
        <w:rPr>
          <w:rFonts w:ascii="Times New Roman" w:hAnsi="Times New Roman" w:cs="Times New Roman"/>
          <w:b/>
          <w:i/>
          <w:sz w:val="28"/>
          <w:szCs w:val="28"/>
          <w:lang w:bidi="ru-RU"/>
        </w:rPr>
        <w:t xml:space="preserve"> районе созданы условия для развития творческих способностей и склонностей детей разного возраста. Осуществляет деятельность учреждение дополнительного образования - ГУО «Центр творчества детей и молодежи </w:t>
      </w:r>
      <w:proofErr w:type="spellStart"/>
      <w:r w:rsidRPr="00BB709A">
        <w:rPr>
          <w:rFonts w:ascii="Times New Roman" w:hAnsi="Times New Roman" w:cs="Times New Roman"/>
          <w:b/>
          <w:i/>
          <w:sz w:val="28"/>
          <w:szCs w:val="28"/>
          <w:lang w:bidi="ru-RU"/>
        </w:rPr>
        <w:t>г.п</w:t>
      </w:r>
      <w:proofErr w:type="spellEnd"/>
      <w:r w:rsidRPr="00BB709A">
        <w:rPr>
          <w:rFonts w:ascii="Times New Roman" w:hAnsi="Times New Roman" w:cs="Times New Roman"/>
          <w:b/>
          <w:i/>
          <w:sz w:val="28"/>
          <w:szCs w:val="28"/>
          <w:lang w:bidi="ru-RU"/>
        </w:rPr>
        <w:t xml:space="preserve">. Зельва». </w:t>
      </w:r>
    </w:p>
    <w:p w:rsidR="00787AAC" w:rsidRPr="00BB709A" w:rsidRDefault="00787AAC" w:rsidP="00787AAC">
      <w:pPr>
        <w:spacing w:after="0" w:line="240" w:lineRule="auto"/>
        <w:ind w:left="-284" w:firstLine="708"/>
        <w:jc w:val="both"/>
        <w:rPr>
          <w:rFonts w:ascii="Times New Roman" w:hAnsi="Times New Roman" w:cs="Times New Roman"/>
          <w:b/>
          <w:i/>
          <w:sz w:val="28"/>
          <w:szCs w:val="28"/>
          <w:lang w:bidi="ru-RU"/>
        </w:rPr>
      </w:pPr>
      <w:r w:rsidRPr="00BB709A">
        <w:rPr>
          <w:rFonts w:ascii="Times New Roman" w:hAnsi="Times New Roman" w:cs="Times New Roman"/>
          <w:b/>
          <w:i/>
          <w:sz w:val="28"/>
          <w:szCs w:val="28"/>
          <w:lang w:bidi="ru-RU"/>
        </w:rPr>
        <w:t xml:space="preserve">Ежегодно школьники имеют возможность укреплять свое здоровье в стационарном оздоровительном лагере «Голубая волна», пришкольных оздоровительных, туристических передвижных, спортивных передвижных, спортивно-оздоровительных, профильных, лагерях труда и отдыха. Новая форма оздоровления в </w:t>
      </w:r>
      <w:proofErr w:type="spellStart"/>
      <w:r w:rsidRPr="00BB709A">
        <w:rPr>
          <w:rFonts w:ascii="Times New Roman" w:hAnsi="Times New Roman" w:cs="Times New Roman"/>
          <w:b/>
          <w:i/>
          <w:sz w:val="28"/>
          <w:szCs w:val="28"/>
          <w:lang w:bidi="ru-RU"/>
        </w:rPr>
        <w:t>Зельвенском</w:t>
      </w:r>
      <w:proofErr w:type="spellEnd"/>
      <w:r w:rsidRPr="00BB709A">
        <w:rPr>
          <w:rFonts w:ascii="Times New Roman" w:hAnsi="Times New Roman" w:cs="Times New Roman"/>
          <w:b/>
          <w:i/>
          <w:sz w:val="28"/>
          <w:szCs w:val="28"/>
          <w:lang w:bidi="ru-RU"/>
        </w:rPr>
        <w:t xml:space="preserve"> районе – открытие лагерей на базе учреждений образования в живописных местах, имеющих хорошие бытовые условия, - позволит оздоровить в 2018 году 60 детей, что на 20 больше, чем предыдущем. Ежегодно в лагерях всех типов </w:t>
      </w:r>
      <w:proofErr w:type="spellStart"/>
      <w:r w:rsidRPr="00BB709A">
        <w:rPr>
          <w:rFonts w:ascii="Times New Roman" w:hAnsi="Times New Roman" w:cs="Times New Roman"/>
          <w:b/>
          <w:i/>
          <w:sz w:val="28"/>
          <w:szCs w:val="28"/>
          <w:lang w:bidi="ru-RU"/>
        </w:rPr>
        <w:t>оздоравливается</w:t>
      </w:r>
      <w:proofErr w:type="spellEnd"/>
      <w:r w:rsidRPr="00BB709A">
        <w:rPr>
          <w:rFonts w:ascii="Times New Roman" w:hAnsi="Times New Roman" w:cs="Times New Roman"/>
          <w:b/>
          <w:i/>
          <w:sz w:val="28"/>
          <w:szCs w:val="28"/>
          <w:lang w:bidi="ru-RU"/>
        </w:rPr>
        <w:t xml:space="preserve"> </w:t>
      </w:r>
      <w:proofErr w:type="gramStart"/>
      <w:r w:rsidRPr="00BB709A">
        <w:rPr>
          <w:rFonts w:ascii="Times New Roman" w:hAnsi="Times New Roman" w:cs="Times New Roman"/>
          <w:b/>
          <w:i/>
          <w:sz w:val="28"/>
          <w:szCs w:val="28"/>
          <w:lang w:bidi="ru-RU"/>
        </w:rPr>
        <w:t>около тысячи детей</w:t>
      </w:r>
      <w:proofErr w:type="gramEnd"/>
      <w:r w:rsidRPr="00BB709A">
        <w:rPr>
          <w:rFonts w:ascii="Times New Roman" w:hAnsi="Times New Roman" w:cs="Times New Roman"/>
          <w:b/>
          <w:i/>
          <w:sz w:val="28"/>
          <w:szCs w:val="28"/>
          <w:lang w:bidi="ru-RU"/>
        </w:rPr>
        <w:t>.</w:t>
      </w:r>
    </w:p>
    <w:p w:rsidR="004D7D4A" w:rsidRPr="004D7D4A" w:rsidRDefault="004D7D4A" w:rsidP="00787AAC">
      <w:pPr>
        <w:pStyle w:val="a3"/>
        <w:rPr>
          <w:rFonts w:ascii="Times New Roman" w:hAnsi="Times New Roman" w:cs="Times New Roman"/>
          <w:sz w:val="30"/>
          <w:szCs w:val="30"/>
          <w:lang w:bidi="ru-RU"/>
        </w:rPr>
      </w:pPr>
    </w:p>
    <w:p w:rsidR="004D7D4A" w:rsidRPr="00592F43" w:rsidRDefault="007D3C76" w:rsidP="00592F43">
      <w:pPr>
        <w:pStyle w:val="a3"/>
        <w:ind w:firstLine="708"/>
        <w:jc w:val="center"/>
        <w:rPr>
          <w:rFonts w:ascii="Times New Roman" w:hAnsi="Times New Roman" w:cs="Times New Roman"/>
          <w:b/>
          <w:sz w:val="30"/>
          <w:szCs w:val="30"/>
        </w:rPr>
      </w:pPr>
      <w:r>
        <w:rPr>
          <w:rFonts w:ascii="Times New Roman" w:hAnsi="Times New Roman" w:cs="Times New Roman"/>
          <w:b/>
          <w:sz w:val="30"/>
          <w:szCs w:val="30"/>
        </w:rPr>
        <w:t>Ф</w:t>
      </w:r>
      <w:r w:rsidR="004D7D4A" w:rsidRPr="004D7D4A">
        <w:rPr>
          <w:rFonts w:ascii="Times New Roman" w:hAnsi="Times New Roman" w:cs="Times New Roman"/>
          <w:b/>
          <w:sz w:val="30"/>
          <w:szCs w:val="30"/>
        </w:rPr>
        <w:t>изическ</w:t>
      </w:r>
      <w:r>
        <w:rPr>
          <w:rFonts w:ascii="Times New Roman" w:hAnsi="Times New Roman" w:cs="Times New Roman"/>
          <w:b/>
          <w:sz w:val="30"/>
          <w:szCs w:val="30"/>
        </w:rPr>
        <w:t>ая</w:t>
      </w:r>
      <w:r w:rsidR="004D7D4A" w:rsidRPr="004D7D4A">
        <w:rPr>
          <w:rFonts w:ascii="Times New Roman" w:hAnsi="Times New Roman" w:cs="Times New Roman"/>
          <w:b/>
          <w:sz w:val="30"/>
          <w:szCs w:val="30"/>
        </w:rPr>
        <w:t xml:space="preserve"> культур</w:t>
      </w:r>
      <w:r>
        <w:rPr>
          <w:rFonts w:ascii="Times New Roman" w:hAnsi="Times New Roman" w:cs="Times New Roman"/>
          <w:b/>
          <w:sz w:val="30"/>
          <w:szCs w:val="30"/>
        </w:rPr>
        <w:t>а, спорт и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Физической культурой и спортом в Гродненской области занимаются 247 395 человек, что составляет 23,5 % от общей численности населения региона – это один из самых высоких показателей в стране (22,4 %).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Для организации физкультурно-спортивной работы с населением функционирует 3 330 спортивных сооружений. Ведется работа по улучшению материально-технической базы. В 2015 году модернизирован спортивный комплекс в г. Щучине, стадион в г. Ошмяны, в 2016 году </w:t>
      </w:r>
      <w:r w:rsidRPr="004D7D4A">
        <w:rPr>
          <w:rFonts w:ascii="Times New Roman" w:hAnsi="Times New Roman" w:cs="Times New Roman"/>
          <w:sz w:val="30"/>
          <w:szCs w:val="30"/>
        </w:rPr>
        <w:lastRenderedPageBreak/>
        <w:t>проведена реконструкция городского стадиона «Юность» в г. Слониме, в 2017 году введен в эксплуатацию футбольный манеж в г. Гродно. Всего за период 2015-2017 гг. веды в строй 58 спортивных объектов (34 – в 2015 г., 13 – в 2016 г., 12 – в 2017 г.).</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w:t>
      </w:r>
      <w:r w:rsidR="005A525F">
        <w:rPr>
          <w:rFonts w:ascii="Times New Roman" w:hAnsi="Times New Roman" w:cs="Times New Roman"/>
          <w:sz w:val="30"/>
          <w:szCs w:val="30"/>
        </w:rPr>
        <w:t>2017</w:t>
      </w:r>
      <w:r w:rsidRPr="004D7D4A">
        <w:rPr>
          <w:rFonts w:ascii="Times New Roman" w:hAnsi="Times New Roman" w:cs="Times New Roman"/>
          <w:sz w:val="30"/>
          <w:szCs w:val="30"/>
        </w:rPr>
        <w:t xml:space="preserve"> году переоборудованы и начали функционировать специализированные спортивные залы  по боксу и дзюдо в г. Лида, настольному теннису в г. Волковыске, дзюдо в г. Гродно и в г. Лида, реконструирован центр борьбы в </w:t>
      </w:r>
      <w:proofErr w:type="spellStart"/>
      <w:r w:rsidRPr="004D7D4A">
        <w:rPr>
          <w:rFonts w:ascii="Times New Roman" w:hAnsi="Times New Roman" w:cs="Times New Roman"/>
          <w:sz w:val="30"/>
          <w:szCs w:val="30"/>
        </w:rPr>
        <w:t>г.Свислочь</w:t>
      </w:r>
      <w:proofErr w:type="spellEnd"/>
      <w:r w:rsidRPr="004D7D4A">
        <w:rPr>
          <w:rFonts w:ascii="Times New Roman" w:hAnsi="Times New Roman" w:cs="Times New Roman"/>
          <w:sz w:val="30"/>
          <w:szCs w:val="30"/>
        </w:rPr>
        <w:t xml:space="preserve">. В программе развития города атомщиков в г. Островце продолжаются работы по строительству физкультурно-оздоровительного комплекса, а также ведутся проектно-изыскательские работы по строительству многофункционального комплекса и модернизации городского стадиона.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2015-2017 гг. в сфере спорта высших достижений основными задачами являлись: подготовка и участие спортсменов Гродненской области в XXXI летних Олимпийских играх и XV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2016 года в г. Рио-де-Жанейро (Бразилия),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летних </w:t>
      </w:r>
      <w:proofErr w:type="spellStart"/>
      <w:r w:rsidRPr="004D7D4A">
        <w:rPr>
          <w:rFonts w:ascii="Times New Roman" w:hAnsi="Times New Roman" w:cs="Times New Roman"/>
          <w:sz w:val="30"/>
          <w:szCs w:val="30"/>
        </w:rPr>
        <w:t>Дефлимпийских</w:t>
      </w:r>
      <w:proofErr w:type="spellEnd"/>
      <w:r w:rsidRPr="004D7D4A">
        <w:rPr>
          <w:rFonts w:ascii="Times New Roman" w:hAnsi="Times New Roman" w:cs="Times New Roman"/>
          <w:sz w:val="30"/>
          <w:szCs w:val="30"/>
        </w:rPr>
        <w:t xml:space="preserve"> играх 2017 года в г. </w:t>
      </w:r>
      <w:proofErr w:type="spellStart"/>
      <w:r w:rsidRPr="004D7D4A">
        <w:rPr>
          <w:rFonts w:ascii="Times New Roman" w:hAnsi="Times New Roman" w:cs="Times New Roman"/>
          <w:sz w:val="30"/>
          <w:szCs w:val="30"/>
        </w:rPr>
        <w:t>Самсун</w:t>
      </w:r>
      <w:proofErr w:type="spellEnd"/>
      <w:r w:rsidRPr="004D7D4A">
        <w:rPr>
          <w:rFonts w:ascii="Times New Roman" w:hAnsi="Times New Roman" w:cs="Times New Roman"/>
          <w:sz w:val="30"/>
          <w:szCs w:val="30"/>
        </w:rPr>
        <w:t xml:space="preserve"> (Турция) и I Европейских играх 2015 года в г. Баку (Азербайджан). Созданные материально-технические условия и предпринятые действия по определению приоритетных видов спорта в регионе, направление финансовых и организационных ресурсов на их развитие позволили добиться высоких результатов на данных спортивных форумах.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XXXI летние Олимпийские игры стали наиболее успешными для Гродненской области за последние четыре олимпийских цикла. Завоевано 2 медали: серебряная – Иваном Тихоном по легкой атлетике в метании молота и бронзовая – Ибрагимом </w:t>
      </w:r>
      <w:proofErr w:type="spellStart"/>
      <w:r w:rsidRPr="004D7D4A">
        <w:rPr>
          <w:rFonts w:ascii="Times New Roman" w:hAnsi="Times New Roman" w:cs="Times New Roman"/>
          <w:sz w:val="30"/>
          <w:szCs w:val="30"/>
        </w:rPr>
        <w:t>Саидовым</w:t>
      </w:r>
      <w:proofErr w:type="spellEnd"/>
      <w:r w:rsidRPr="004D7D4A">
        <w:rPr>
          <w:rFonts w:ascii="Times New Roman" w:hAnsi="Times New Roman" w:cs="Times New Roman"/>
          <w:sz w:val="30"/>
          <w:szCs w:val="30"/>
        </w:rPr>
        <w:t xml:space="preserve"> по борьбе вольной. Участие в Олимпиаде приняло рекордное количество представителей региона – 22 спортсмена (второй показатель после г. Минска), из числа</w:t>
      </w:r>
      <w:r w:rsidR="005A525F">
        <w:rPr>
          <w:rFonts w:ascii="Times New Roman" w:hAnsi="Times New Roman" w:cs="Times New Roman"/>
          <w:sz w:val="30"/>
          <w:szCs w:val="30"/>
        </w:rPr>
        <w:t>,</w:t>
      </w:r>
      <w:r w:rsidRPr="004D7D4A">
        <w:rPr>
          <w:rFonts w:ascii="Times New Roman" w:hAnsi="Times New Roman" w:cs="Times New Roman"/>
          <w:sz w:val="30"/>
          <w:szCs w:val="30"/>
        </w:rPr>
        <w:t xml:space="preserve"> которых 5 заняли места с четвертого по восьмое. На XV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представитель г. Гродно – Александр </w:t>
      </w:r>
      <w:proofErr w:type="spellStart"/>
      <w:r w:rsidRPr="004D7D4A">
        <w:rPr>
          <w:rFonts w:ascii="Times New Roman" w:hAnsi="Times New Roman" w:cs="Times New Roman"/>
          <w:sz w:val="30"/>
          <w:szCs w:val="30"/>
        </w:rPr>
        <w:t>Трипуть</w:t>
      </w:r>
      <w:proofErr w:type="spellEnd"/>
      <w:r w:rsidRPr="004D7D4A">
        <w:rPr>
          <w:rFonts w:ascii="Times New Roman" w:hAnsi="Times New Roman" w:cs="Times New Roman"/>
          <w:sz w:val="30"/>
          <w:szCs w:val="30"/>
        </w:rPr>
        <w:t xml:space="preserve"> – завоевал бронзовую медаль по легкой атлетике в метании копья. В 2017 году на </w:t>
      </w:r>
      <w:proofErr w:type="spellStart"/>
      <w:r w:rsidRPr="004D7D4A">
        <w:rPr>
          <w:rFonts w:ascii="Times New Roman" w:hAnsi="Times New Roman" w:cs="Times New Roman"/>
          <w:sz w:val="30"/>
          <w:szCs w:val="30"/>
        </w:rPr>
        <w:t>Дефлимпийских</w:t>
      </w:r>
      <w:proofErr w:type="spellEnd"/>
      <w:r w:rsidRPr="004D7D4A">
        <w:rPr>
          <w:rFonts w:ascii="Times New Roman" w:hAnsi="Times New Roman" w:cs="Times New Roman"/>
          <w:sz w:val="30"/>
          <w:szCs w:val="30"/>
        </w:rPr>
        <w:t xml:space="preserve"> играх в Турции Черняк Александр завоевал золотую и серебряную медали по легкой атлетике в беге на 800 и 1500 метров соответственно. Пьедестал первых в истории Европейских игр в Азербайджане так же был наполнен представителями Гродненской области, завоевано 8 медалей – 3 золотые, 2 серебряные, 3 бронзовые.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Отмечается общая положительная динамика по выступлению спортсменов Гродненской области в официальных международных соревнованиях. В 2017 году завоевано 64 медали (в 2016 г. и 2015 гг. по 59), в финальную восьмерку (4 – 8 место) спортсмены попали 161 раз (в 2016 – 135, в 2015 г. – 159).</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Во многих видах спорта Гродненская область является доминирующей в Республике Беларусь, спортсмены составляют основу национальных команд в период участия в мировых и европейских форумах. В списочные составы национальных и сборных команд Республики Беларусь в 2017 году </w:t>
      </w:r>
      <w:r w:rsidRPr="004D7D4A">
        <w:rPr>
          <w:rFonts w:ascii="Times New Roman" w:hAnsi="Times New Roman" w:cs="Times New Roman"/>
          <w:sz w:val="30"/>
          <w:szCs w:val="30"/>
        </w:rPr>
        <w:lastRenderedPageBreak/>
        <w:t>включены 570 спортсменов, что значительно больше, чем в предыдущие годы: в 2016 г. – 550, в 2015 г. – 245.</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К занятиям в специализированных учебно-спортивных учреждениях Гродненской области привлечено 22 805 (21,2 %) учащихся учреждений общего среднего образования. Разработана стратегия развития детско-юношеского спорта, в рамках которой проводятся широкомасштабные акции «Неделя спорта», «Запиши ребенка в спортивную школу», создаются специализированные по спорту классы (в 2015 г. – 1487 учащихся, в 2016 г. – 1881, в 2017 г. – 1992),  ведется работа по повышению качества медицинского сопровождения за счет введенных в каждом районном центре дополнительных ставок медицинских работников, закрепленных за спортивными учреждениями, открыт филиал Гродненского областного диспансера спортивной медицины; создаются социально-бытовые условия и меры поддержки перспективных спортсменов, учреждены и выплачиваются 70 именных ежемесячных стипендий в размере от 5 до 100 базовых величин.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Основной задачей на 2018 год перед сферой физической культуры и спорта является завоевание лицензий и участие спортсменов </w:t>
      </w:r>
      <w:proofErr w:type="spellStart"/>
      <w:r w:rsidRPr="004D7D4A">
        <w:rPr>
          <w:rFonts w:ascii="Times New Roman" w:hAnsi="Times New Roman" w:cs="Times New Roman"/>
          <w:sz w:val="30"/>
          <w:szCs w:val="30"/>
        </w:rPr>
        <w:t>Гродненскойобласти</w:t>
      </w:r>
      <w:proofErr w:type="spellEnd"/>
      <w:r w:rsidRPr="004D7D4A">
        <w:rPr>
          <w:rFonts w:ascii="Times New Roman" w:hAnsi="Times New Roman" w:cs="Times New Roman"/>
          <w:sz w:val="30"/>
          <w:szCs w:val="30"/>
        </w:rPr>
        <w:t xml:space="preserve"> в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зимних Олимпийских играх и XII зимних </w:t>
      </w:r>
      <w:proofErr w:type="spellStart"/>
      <w:r w:rsidRPr="004D7D4A">
        <w:rPr>
          <w:rFonts w:ascii="Times New Roman" w:hAnsi="Times New Roman" w:cs="Times New Roman"/>
          <w:sz w:val="30"/>
          <w:szCs w:val="30"/>
        </w:rPr>
        <w:t>Паралимпийских</w:t>
      </w:r>
      <w:proofErr w:type="spellEnd"/>
      <w:r w:rsidRPr="004D7D4A">
        <w:rPr>
          <w:rFonts w:ascii="Times New Roman" w:hAnsi="Times New Roman" w:cs="Times New Roman"/>
          <w:sz w:val="30"/>
          <w:szCs w:val="30"/>
        </w:rPr>
        <w:t xml:space="preserve"> играх 2018 года в г. </w:t>
      </w:r>
      <w:proofErr w:type="spellStart"/>
      <w:r w:rsidRPr="004D7D4A">
        <w:rPr>
          <w:rFonts w:ascii="Times New Roman" w:hAnsi="Times New Roman" w:cs="Times New Roman"/>
          <w:sz w:val="30"/>
          <w:szCs w:val="30"/>
        </w:rPr>
        <w:t>Пхенчхане</w:t>
      </w:r>
      <w:proofErr w:type="spellEnd"/>
      <w:r w:rsidRPr="004D7D4A">
        <w:rPr>
          <w:rFonts w:ascii="Times New Roman" w:hAnsi="Times New Roman" w:cs="Times New Roman"/>
          <w:sz w:val="30"/>
          <w:szCs w:val="30"/>
        </w:rPr>
        <w:t xml:space="preserve"> (Республика Корея). Подготовку к ним ведут две спортсменки – Юлия Тихонова и Анастасия Кириллова (лыжные гонки), в </w:t>
      </w:r>
      <w:proofErr w:type="spellStart"/>
      <w:r w:rsidRPr="004D7D4A">
        <w:rPr>
          <w:rFonts w:ascii="Times New Roman" w:hAnsi="Times New Roman" w:cs="Times New Roman"/>
          <w:sz w:val="30"/>
          <w:szCs w:val="30"/>
        </w:rPr>
        <w:t>Паралимпиаде</w:t>
      </w:r>
      <w:proofErr w:type="spellEnd"/>
      <w:r w:rsidRPr="004D7D4A">
        <w:rPr>
          <w:rFonts w:ascii="Times New Roman" w:hAnsi="Times New Roman" w:cs="Times New Roman"/>
          <w:sz w:val="30"/>
          <w:szCs w:val="30"/>
        </w:rPr>
        <w:t xml:space="preserve"> планируется выступление Ядвиги </w:t>
      </w:r>
      <w:proofErr w:type="spellStart"/>
      <w:r w:rsidRPr="004D7D4A">
        <w:rPr>
          <w:rFonts w:ascii="Times New Roman" w:hAnsi="Times New Roman" w:cs="Times New Roman"/>
          <w:sz w:val="30"/>
          <w:szCs w:val="30"/>
        </w:rPr>
        <w:t>Скоробогатой</w:t>
      </w:r>
      <w:proofErr w:type="spellEnd"/>
      <w:r w:rsidRPr="004D7D4A">
        <w:rPr>
          <w:rFonts w:ascii="Times New Roman" w:hAnsi="Times New Roman" w:cs="Times New Roman"/>
          <w:sz w:val="30"/>
          <w:szCs w:val="30"/>
        </w:rPr>
        <w:t>.</w:t>
      </w:r>
    </w:p>
    <w:p w:rsidR="004D7D4A" w:rsidRPr="004D7D4A" w:rsidRDefault="004D7D4A" w:rsidP="004D7D4A">
      <w:pPr>
        <w:pStyle w:val="a3"/>
        <w:jc w:val="both"/>
        <w:rPr>
          <w:rFonts w:ascii="Times New Roman" w:hAnsi="Times New Roman" w:cs="Times New Roman"/>
          <w:sz w:val="30"/>
          <w:szCs w:val="30"/>
        </w:rPr>
      </w:pPr>
      <w:r w:rsidRPr="004D7D4A">
        <w:rPr>
          <w:rFonts w:ascii="Times New Roman" w:hAnsi="Times New Roman" w:cs="Times New Roman"/>
          <w:sz w:val="30"/>
          <w:szCs w:val="30"/>
        </w:rPr>
        <w:t xml:space="preserve">Целенаправленное развитие физической культуры и спорта в 2018 году будет осуществляться на основании Государственной программы развития физической культуры и спорта на 2016-2020 годы, в соответствии с которой запланировано выполнение основных показателей работы по следующим </w:t>
      </w:r>
      <w:proofErr w:type="spellStart"/>
      <w:r w:rsidRPr="004D7D4A">
        <w:rPr>
          <w:rFonts w:ascii="Times New Roman" w:hAnsi="Times New Roman" w:cs="Times New Roman"/>
          <w:sz w:val="30"/>
          <w:szCs w:val="30"/>
        </w:rPr>
        <w:t>направлениям:привлечение</w:t>
      </w:r>
      <w:proofErr w:type="spellEnd"/>
      <w:r w:rsidRPr="004D7D4A">
        <w:rPr>
          <w:rFonts w:ascii="Times New Roman" w:hAnsi="Times New Roman" w:cs="Times New Roman"/>
          <w:sz w:val="30"/>
          <w:szCs w:val="30"/>
        </w:rPr>
        <w:t xml:space="preserve"> населения к занятиям физической культурой и спортом в количестве не менее 23,4 % от общей численности населения региона; комплектование специализированных учебно-спортивных учреждений учащимися учреждений общего среднего образования на уровне не менее 18,6 % от их общего количества и проведение с данной целью областных, направленных на пропаганду спорта и здорового образа жизни, акций, таких как: «Неделя спорта» «Запиши ребенка в спортивную школу» и т.д.; создание физкультурно-оздоровительной группы для лиц с ограниченными возможностями и физически ослабленных лиц в центре физкультурно-оздоровительной работы </w:t>
      </w:r>
      <w:proofErr w:type="spellStart"/>
      <w:r w:rsidRPr="004D7D4A">
        <w:rPr>
          <w:rFonts w:ascii="Times New Roman" w:hAnsi="Times New Roman" w:cs="Times New Roman"/>
          <w:sz w:val="30"/>
          <w:szCs w:val="30"/>
        </w:rPr>
        <w:t>Сморгонского</w:t>
      </w:r>
      <w:proofErr w:type="spellEnd"/>
      <w:r w:rsidRPr="004D7D4A">
        <w:rPr>
          <w:rFonts w:ascii="Times New Roman" w:hAnsi="Times New Roman" w:cs="Times New Roman"/>
          <w:sz w:val="30"/>
          <w:szCs w:val="30"/>
        </w:rPr>
        <w:t xml:space="preserve"> района; создание 4 клубов по физической культуре и спорту, туристических клубов на предприятиях и в организациях </w:t>
      </w:r>
      <w:proofErr w:type="spellStart"/>
      <w:r w:rsidRPr="004D7D4A">
        <w:rPr>
          <w:rFonts w:ascii="Times New Roman" w:hAnsi="Times New Roman" w:cs="Times New Roman"/>
          <w:sz w:val="30"/>
          <w:szCs w:val="30"/>
        </w:rPr>
        <w:t>Вороновского</w:t>
      </w:r>
      <w:proofErr w:type="spellEnd"/>
      <w:r w:rsidRPr="004D7D4A">
        <w:rPr>
          <w:rFonts w:ascii="Times New Roman" w:hAnsi="Times New Roman" w:cs="Times New Roman"/>
          <w:sz w:val="30"/>
          <w:szCs w:val="30"/>
        </w:rPr>
        <w:t xml:space="preserve">, Мостовского, </w:t>
      </w:r>
      <w:proofErr w:type="spellStart"/>
      <w:r w:rsidRPr="004D7D4A">
        <w:rPr>
          <w:rFonts w:ascii="Times New Roman" w:hAnsi="Times New Roman" w:cs="Times New Roman"/>
          <w:sz w:val="30"/>
          <w:szCs w:val="30"/>
        </w:rPr>
        <w:t>Новогрудского</w:t>
      </w:r>
      <w:proofErr w:type="spellEnd"/>
      <w:r w:rsidRPr="004D7D4A">
        <w:rPr>
          <w:rFonts w:ascii="Times New Roman" w:hAnsi="Times New Roman" w:cs="Times New Roman"/>
          <w:sz w:val="30"/>
          <w:szCs w:val="30"/>
        </w:rPr>
        <w:t xml:space="preserve"> и </w:t>
      </w:r>
      <w:proofErr w:type="spellStart"/>
      <w:r w:rsidRPr="004D7D4A">
        <w:rPr>
          <w:rFonts w:ascii="Times New Roman" w:hAnsi="Times New Roman" w:cs="Times New Roman"/>
          <w:sz w:val="30"/>
          <w:szCs w:val="30"/>
        </w:rPr>
        <w:t>Сморгонского</w:t>
      </w:r>
      <w:proofErr w:type="spellEnd"/>
      <w:r w:rsidRPr="004D7D4A">
        <w:rPr>
          <w:rFonts w:ascii="Times New Roman" w:hAnsi="Times New Roman" w:cs="Times New Roman"/>
          <w:sz w:val="30"/>
          <w:szCs w:val="30"/>
        </w:rPr>
        <w:t xml:space="preserve"> районов;  модернизация 5 комплексных спортивных площадок на дворовых территориях в </w:t>
      </w:r>
      <w:proofErr w:type="spellStart"/>
      <w:r w:rsidRPr="004D7D4A">
        <w:rPr>
          <w:rFonts w:ascii="Times New Roman" w:hAnsi="Times New Roman" w:cs="Times New Roman"/>
          <w:sz w:val="30"/>
          <w:szCs w:val="30"/>
        </w:rPr>
        <w:t>Вороновском</w:t>
      </w:r>
      <w:proofErr w:type="spellEnd"/>
      <w:r w:rsidRPr="004D7D4A">
        <w:rPr>
          <w:rFonts w:ascii="Times New Roman" w:hAnsi="Times New Roman" w:cs="Times New Roman"/>
          <w:sz w:val="30"/>
          <w:szCs w:val="30"/>
        </w:rPr>
        <w:t xml:space="preserve">, </w:t>
      </w:r>
      <w:proofErr w:type="spellStart"/>
      <w:r w:rsidRPr="004D7D4A">
        <w:rPr>
          <w:rFonts w:ascii="Times New Roman" w:hAnsi="Times New Roman" w:cs="Times New Roman"/>
          <w:sz w:val="30"/>
          <w:szCs w:val="30"/>
        </w:rPr>
        <w:t>Зельвенском</w:t>
      </w:r>
      <w:proofErr w:type="spellEnd"/>
      <w:r w:rsidRPr="004D7D4A">
        <w:rPr>
          <w:rFonts w:ascii="Times New Roman" w:hAnsi="Times New Roman" w:cs="Times New Roman"/>
          <w:sz w:val="30"/>
          <w:szCs w:val="30"/>
        </w:rPr>
        <w:t xml:space="preserve">, Мостовском, </w:t>
      </w:r>
      <w:proofErr w:type="spellStart"/>
      <w:r w:rsidRPr="004D7D4A">
        <w:rPr>
          <w:rFonts w:ascii="Times New Roman" w:hAnsi="Times New Roman" w:cs="Times New Roman"/>
          <w:sz w:val="30"/>
          <w:szCs w:val="30"/>
        </w:rPr>
        <w:t>Островецком</w:t>
      </w:r>
      <w:proofErr w:type="spellEnd"/>
      <w:r w:rsidRPr="004D7D4A">
        <w:rPr>
          <w:rFonts w:ascii="Times New Roman" w:hAnsi="Times New Roman" w:cs="Times New Roman"/>
          <w:sz w:val="30"/>
          <w:szCs w:val="30"/>
        </w:rPr>
        <w:t>, Щучинском районах.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целях укрепления материально-технической базы в области запланировано: строительство и реконструкция физкультурно-оздоровительных объектов в г. Островце в рамках Государственной и </w:t>
      </w:r>
      <w:r w:rsidRPr="004D7D4A">
        <w:rPr>
          <w:rFonts w:ascii="Times New Roman" w:hAnsi="Times New Roman" w:cs="Times New Roman"/>
          <w:sz w:val="30"/>
          <w:szCs w:val="30"/>
        </w:rPr>
        <w:lastRenderedPageBreak/>
        <w:t xml:space="preserve">Гродненской областной инвестиционных программ на 2018 г.;  реконструкция здания и прилегающей территории стадиона «Олимп» в г. Щучине в рамках реализации проекта международной технической помощи Программы трансграничного сотрудничества «Польша-Беларусь-Украина» на 2014-2020 гг.;  реконструкция стадиона и строительство хоккейной коробки на базе ГУО «Гимназия № 1 г. </w:t>
      </w:r>
      <w:proofErr w:type="spellStart"/>
      <w:r w:rsidRPr="004D7D4A">
        <w:rPr>
          <w:rFonts w:ascii="Times New Roman" w:hAnsi="Times New Roman" w:cs="Times New Roman"/>
          <w:sz w:val="30"/>
          <w:szCs w:val="30"/>
        </w:rPr>
        <w:t>Ивье</w:t>
      </w:r>
      <w:proofErr w:type="spellEnd"/>
      <w:r w:rsidRPr="004D7D4A">
        <w:rPr>
          <w:rFonts w:ascii="Times New Roman" w:hAnsi="Times New Roman" w:cs="Times New Roman"/>
          <w:sz w:val="30"/>
          <w:szCs w:val="30"/>
        </w:rPr>
        <w:t xml:space="preserve">», оборудование комплексов уличных тренажеров в г. </w:t>
      </w:r>
      <w:proofErr w:type="spellStart"/>
      <w:r w:rsidRPr="004D7D4A">
        <w:rPr>
          <w:rFonts w:ascii="Times New Roman" w:hAnsi="Times New Roman" w:cs="Times New Roman"/>
          <w:sz w:val="30"/>
          <w:szCs w:val="30"/>
        </w:rPr>
        <w:t>Ивье</w:t>
      </w:r>
      <w:proofErr w:type="spellEnd"/>
      <w:r w:rsidRPr="004D7D4A">
        <w:rPr>
          <w:rFonts w:ascii="Times New Roman" w:hAnsi="Times New Roman" w:cs="Times New Roman"/>
          <w:sz w:val="30"/>
          <w:szCs w:val="30"/>
        </w:rPr>
        <w:t>. проектирование физкультурно-оздоровительного комплекса в г. Слоним и привлечение инвестора для</w:t>
      </w:r>
      <w:r w:rsidR="002F7EFD">
        <w:rPr>
          <w:rFonts w:ascii="Times New Roman" w:hAnsi="Times New Roman" w:cs="Times New Roman"/>
          <w:sz w:val="30"/>
          <w:szCs w:val="30"/>
        </w:rPr>
        <w:t xml:space="preserve"> </w:t>
      </w:r>
      <w:r w:rsidRPr="004D7D4A">
        <w:rPr>
          <w:rFonts w:ascii="Times New Roman" w:hAnsi="Times New Roman" w:cs="Times New Roman"/>
          <w:sz w:val="30"/>
          <w:szCs w:val="30"/>
        </w:rPr>
        <w:t>осуществление начала его строительства.</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Последние годы характеризуются значительным изменением законодательной базы в сфере туризма: 23 августа 2016 г. подписан Указа Президента от № 318 «Об установлении безвизового порядка въезда и выезда иностранных граждан».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С 28 апреля 2017 года в тестовом режиме начал работу пункт пропуска Лесная – </w:t>
      </w:r>
      <w:proofErr w:type="spellStart"/>
      <w:r w:rsidRPr="004D7D4A">
        <w:rPr>
          <w:rFonts w:ascii="Times New Roman" w:hAnsi="Times New Roman" w:cs="Times New Roman"/>
          <w:sz w:val="30"/>
          <w:szCs w:val="30"/>
        </w:rPr>
        <w:t>Рудавка</w:t>
      </w:r>
      <w:proofErr w:type="spellEnd"/>
      <w:r w:rsidRPr="004D7D4A">
        <w:rPr>
          <w:rFonts w:ascii="Times New Roman" w:hAnsi="Times New Roman" w:cs="Times New Roman"/>
          <w:sz w:val="30"/>
          <w:szCs w:val="30"/>
        </w:rPr>
        <w:t xml:space="preserve"> с измененным видом сообщения: если раньше пересечь данный пункт пропуска на Августовском канале можно было только по воде, сейчас это можно сделать на велосипеде и пешком. И это дало толчок для развития туризма на Августовском канале: в 2017 году проследовало 2 663 человека (в 2016 году около 200 человек).</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растет количество туристов, посетивших </w:t>
      </w:r>
      <w:proofErr w:type="spellStart"/>
      <w:r w:rsidRPr="004D7D4A">
        <w:rPr>
          <w:rFonts w:ascii="Times New Roman" w:hAnsi="Times New Roman" w:cs="Times New Roman"/>
          <w:sz w:val="30"/>
          <w:szCs w:val="30"/>
        </w:rPr>
        <w:t>Гродненщину</w:t>
      </w:r>
      <w:proofErr w:type="spellEnd"/>
      <w:r w:rsidRPr="004D7D4A">
        <w:rPr>
          <w:rFonts w:ascii="Times New Roman" w:hAnsi="Times New Roman" w:cs="Times New Roman"/>
          <w:sz w:val="30"/>
          <w:szCs w:val="30"/>
        </w:rPr>
        <w:t>: в 2016 году увеличилось на 5,9 % в целом, значительным оказался рост прибытий иностранцев – на 40,6 % по сравнению с 2015 годом. В 2017 году после подписания Указа Президента от № 318 парк «Августовский канал» посетило почти 50 тысяч туристов.</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способствовало активизации малого и среднего бизнеса в части продажи сувенирной продукции, проведения костюмированных экскурсий, организации рейсов по Августовскому каналу и т. д. </w:t>
      </w:r>
      <w:r w:rsidRPr="004D7D4A">
        <w:rPr>
          <w:rFonts w:ascii="Times New Roman" w:hAnsi="Times New Roman" w:cs="Times New Roman"/>
          <w:sz w:val="30"/>
          <w:szCs w:val="30"/>
          <w:lang w:val="be-BY"/>
        </w:rPr>
        <w:t xml:space="preserve">Только в 2017 году </w:t>
      </w:r>
      <w:r w:rsidRPr="004D7D4A">
        <w:rPr>
          <w:rFonts w:ascii="Times New Roman" w:hAnsi="Times New Roman" w:cs="Times New Roman"/>
          <w:sz w:val="30"/>
          <w:szCs w:val="30"/>
        </w:rPr>
        <w:t xml:space="preserve">в г. Гродно создано 418 новых рабочих мест. </w:t>
      </w:r>
      <w:r w:rsidRPr="004D7D4A">
        <w:rPr>
          <w:rFonts w:ascii="Times New Roman" w:hAnsi="Times New Roman" w:cs="Times New Roman"/>
          <w:sz w:val="30"/>
          <w:szCs w:val="30"/>
          <w:lang w:val="be-BY"/>
        </w:rPr>
        <w:t>В последн</w:t>
      </w:r>
      <w:r w:rsidRPr="004D7D4A">
        <w:rPr>
          <w:rFonts w:ascii="Times New Roman" w:hAnsi="Times New Roman" w:cs="Times New Roman"/>
          <w:sz w:val="30"/>
          <w:szCs w:val="30"/>
        </w:rPr>
        <w:t>и</w:t>
      </w:r>
      <w:r w:rsidR="005A525F">
        <w:rPr>
          <w:rFonts w:ascii="Times New Roman" w:hAnsi="Times New Roman" w:cs="Times New Roman"/>
          <w:sz w:val="30"/>
          <w:szCs w:val="30"/>
          <w:lang w:val="be-BY"/>
        </w:rPr>
        <w:t xml:space="preserve">е годы </w:t>
      </w:r>
      <w:r w:rsidR="005A525F" w:rsidRPr="004D7D4A">
        <w:rPr>
          <w:rFonts w:ascii="Times New Roman" w:hAnsi="Times New Roman" w:cs="Times New Roman"/>
          <w:sz w:val="30"/>
          <w:szCs w:val="30"/>
        </w:rPr>
        <w:t>получили</w:t>
      </w:r>
      <w:r w:rsidRPr="004D7D4A">
        <w:rPr>
          <w:rFonts w:ascii="Times New Roman" w:hAnsi="Times New Roman" w:cs="Times New Roman"/>
          <w:sz w:val="30"/>
          <w:szCs w:val="30"/>
        </w:rPr>
        <w:t xml:space="preserve"> дополнительное развитие такие виды туризма, как познавательный, медицинский и событийный, туры выходного дня.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повысило интерес туристических компаний к организации въездного туризма, это разнообразило туристическое предложение и позволило увеличить экспорт туристических услуг: экспорт туристических услуг в г. Гродно за 10 месяцев 2017 г. составил </w:t>
      </w:r>
      <w:r w:rsidRPr="004D7D4A">
        <w:rPr>
          <w:rFonts w:ascii="Times New Roman" w:hAnsi="Times New Roman" w:cs="Times New Roman"/>
          <w:sz w:val="30"/>
          <w:szCs w:val="30"/>
          <w:lang w:val="be-BY"/>
        </w:rPr>
        <w:t xml:space="preserve">2 588,4 </w:t>
      </w:r>
      <w:r w:rsidRPr="004D7D4A">
        <w:rPr>
          <w:rFonts w:ascii="Times New Roman" w:hAnsi="Times New Roman" w:cs="Times New Roman"/>
          <w:sz w:val="30"/>
          <w:szCs w:val="30"/>
        </w:rPr>
        <w:t xml:space="preserve">тыс. </w:t>
      </w:r>
      <w:r w:rsidRPr="004D7D4A">
        <w:rPr>
          <w:rFonts w:ascii="Times New Roman" w:hAnsi="Times New Roman" w:cs="Times New Roman"/>
          <w:sz w:val="30"/>
          <w:szCs w:val="30"/>
          <w:lang w:val="be-BY"/>
        </w:rPr>
        <w:t xml:space="preserve">долларов США, или </w:t>
      </w:r>
      <w:r w:rsidRPr="004D7D4A">
        <w:rPr>
          <w:rFonts w:ascii="Times New Roman" w:hAnsi="Times New Roman" w:cs="Times New Roman"/>
          <w:sz w:val="30"/>
          <w:szCs w:val="30"/>
        </w:rPr>
        <w:t xml:space="preserve">144,6 % к аналогичному периоду прошлого года.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Постоянно растет доля экспорт</w:t>
      </w:r>
      <w:r w:rsidR="00DE1358">
        <w:rPr>
          <w:rFonts w:ascii="Times New Roman" w:hAnsi="Times New Roman" w:cs="Times New Roman"/>
          <w:sz w:val="30"/>
          <w:szCs w:val="30"/>
        </w:rPr>
        <w:t>а</w:t>
      </w:r>
      <w:r w:rsidRPr="004D7D4A">
        <w:rPr>
          <w:rFonts w:ascii="Times New Roman" w:hAnsi="Times New Roman" w:cs="Times New Roman"/>
          <w:sz w:val="30"/>
          <w:szCs w:val="30"/>
        </w:rPr>
        <w:t xml:space="preserve"> туристических услуг Гродненской области в общей структуре экспорта страны: 2015 год - 7,3 млн. долларов (4,7 % в общей структуре), 2016 год - 9,1 млн. долларов (5,9 % в общей структуре), январь - октябрь 2017 - 10,5 млн. долларов (6,3 % в общей структуре).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расширяется география стран, туристы из которых посещают Гродненскую область. В последние годы, помимо традиционных рынков, таких как Российская Федерация, Республика Польша, активизировались </w:t>
      </w:r>
      <w:r w:rsidRPr="004D7D4A">
        <w:rPr>
          <w:rFonts w:ascii="Times New Roman" w:hAnsi="Times New Roman" w:cs="Times New Roman"/>
          <w:sz w:val="30"/>
          <w:szCs w:val="30"/>
        </w:rPr>
        <w:lastRenderedPageBreak/>
        <w:t xml:space="preserve">поездки жителей Литвы, Латвии, Германии. Всего по безвизовому въезду Гродненскую область посетили граждане из 66 стран. Появились и новые целевые рынки – Израиль и Китай. Соответственно, в первую очередь, по данным направлениям работает и маркетинг туристических услуг на </w:t>
      </w:r>
      <w:proofErr w:type="spellStart"/>
      <w:r w:rsidRPr="004D7D4A">
        <w:rPr>
          <w:rFonts w:ascii="Times New Roman" w:hAnsi="Times New Roman" w:cs="Times New Roman"/>
          <w:sz w:val="30"/>
          <w:szCs w:val="30"/>
        </w:rPr>
        <w:t>Гродненщине</w:t>
      </w:r>
      <w:proofErr w:type="spellEnd"/>
      <w:r w:rsidRPr="004D7D4A">
        <w:rPr>
          <w:rFonts w:ascii="Times New Roman" w:hAnsi="Times New Roman" w:cs="Times New Roman"/>
          <w:sz w:val="30"/>
          <w:szCs w:val="30"/>
        </w:rPr>
        <w:t xml:space="preserve">. На это направлено проведение </w:t>
      </w:r>
      <w:proofErr w:type="spellStart"/>
      <w:r w:rsidRPr="004D7D4A">
        <w:rPr>
          <w:rFonts w:ascii="Times New Roman" w:hAnsi="Times New Roman" w:cs="Times New Roman"/>
          <w:sz w:val="30"/>
          <w:szCs w:val="30"/>
        </w:rPr>
        <w:t>ворк-шопов</w:t>
      </w:r>
      <w:proofErr w:type="spellEnd"/>
      <w:r w:rsidRPr="004D7D4A">
        <w:rPr>
          <w:rFonts w:ascii="Times New Roman" w:hAnsi="Times New Roman" w:cs="Times New Roman"/>
          <w:sz w:val="30"/>
          <w:szCs w:val="30"/>
        </w:rPr>
        <w:t xml:space="preserve">, рекламных туров для туроператоров и средств массовой информации, участие в международных туристических выставках, семинарах.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Динамично развивается в последнее время и сотрудничество с </w:t>
      </w:r>
      <w:proofErr w:type="spellStart"/>
      <w:r w:rsidRPr="004D7D4A">
        <w:rPr>
          <w:rFonts w:ascii="Times New Roman" w:hAnsi="Times New Roman" w:cs="Times New Roman"/>
          <w:sz w:val="30"/>
          <w:szCs w:val="30"/>
        </w:rPr>
        <w:t>Подлясским</w:t>
      </w:r>
      <w:proofErr w:type="spellEnd"/>
      <w:r w:rsidRPr="004D7D4A">
        <w:rPr>
          <w:rFonts w:ascii="Times New Roman" w:hAnsi="Times New Roman" w:cs="Times New Roman"/>
          <w:sz w:val="30"/>
          <w:szCs w:val="30"/>
        </w:rPr>
        <w:t xml:space="preserve"> воеводством Республики Польша в сфере туризма. Создана рабочая группа по развитию Августовского канала, достигнут ряд договоренностей по изменению вида сообщения в пункте пропуска Лесная – </w:t>
      </w:r>
      <w:proofErr w:type="spellStart"/>
      <w:r w:rsidRPr="004D7D4A">
        <w:rPr>
          <w:rFonts w:ascii="Times New Roman" w:hAnsi="Times New Roman" w:cs="Times New Roman"/>
          <w:sz w:val="30"/>
          <w:szCs w:val="30"/>
        </w:rPr>
        <w:t>Рудавка</w:t>
      </w:r>
      <w:proofErr w:type="spellEnd"/>
      <w:r w:rsidRPr="004D7D4A">
        <w:rPr>
          <w:rFonts w:ascii="Times New Roman" w:hAnsi="Times New Roman" w:cs="Times New Roman"/>
          <w:sz w:val="30"/>
          <w:szCs w:val="30"/>
        </w:rPr>
        <w:t xml:space="preserve">, по созданию пункта пропуска </w:t>
      </w:r>
      <w:proofErr w:type="spellStart"/>
      <w:r w:rsidRPr="004D7D4A">
        <w:rPr>
          <w:rFonts w:ascii="Times New Roman" w:hAnsi="Times New Roman" w:cs="Times New Roman"/>
          <w:sz w:val="30"/>
          <w:szCs w:val="30"/>
        </w:rPr>
        <w:t>Привалка</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Швяндубре</w:t>
      </w:r>
      <w:proofErr w:type="spellEnd"/>
      <w:r w:rsidRPr="004D7D4A">
        <w:rPr>
          <w:rFonts w:ascii="Times New Roman" w:hAnsi="Times New Roman" w:cs="Times New Roman"/>
          <w:sz w:val="30"/>
          <w:szCs w:val="30"/>
        </w:rPr>
        <w:t>, проект развития велосипедного движения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Активно развивается и </w:t>
      </w:r>
      <w:proofErr w:type="spellStart"/>
      <w:r w:rsidRPr="004D7D4A">
        <w:rPr>
          <w:rFonts w:ascii="Times New Roman" w:hAnsi="Times New Roman" w:cs="Times New Roman"/>
          <w:sz w:val="30"/>
          <w:szCs w:val="30"/>
        </w:rPr>
        <w:t>агроэкотуризм</w:t>
      </w:r>
      <w:proofErr w:type="spellEnd"/>
      <w:r w:rsidRPr="004D7D4A">
        <w:rPr>
          <w:rFonts w:ascii="Times New Roman" w:hAnsi="Times New Roman" w:cs="Times New Roman"/>
          <w:sz w:val="30"/>
          <w:szCs w:val="30"/>
        </w:rPr>
        <w:t xml:space="preserve"> на </w:t>
      </w:r>
      <w:proofErr w:type="spellStart"/>
      <w:r w:rsidRPr="004D7D4A">
        <w:rPr>
          <w:rFonts w:ascii="Times New Roman" w:hAnsi="Times New Roman" w:cs="Times New Roman"/>
          <w:sz w:val="30"/>
          <w:szCs w:val="30"/>
        </w:rPr>
        <w:t>Гродненщине</w:t>
      </w:r>
      <w:proofErr w:type="spellEnd"/>
      <w:r w:rsidRPr="004D7D4A">
        <w:rPr>
          <w:rFonts w:ascii="Times New Roman" w:hAnsi="Times New Roman" w:cs="Times New Roman"/>
          <w:sz w:val="30"/>
          <w:szCs w:val="30"/>
        </w:rPr>
        <w:t xml:space="preserve">: количество </w:t>
      </w:r>
      <w:proofErr w:type="spellStart"/>
      <w:r w:rsidRPr="004D7D4A">
        <w:rPr>
          <w:rFonts w:ascii="Times New Roman" w:hAnsi="Times New Roman" w:cs="Times New Roman"/>
          <w:sz w:val="30"/>
          <w:szCs w:val="30"/>
        </w:rPr>
        <w:t>агроусадеб</w:t>
      </w:r>
      <w:proofErr w:type="spellEnd"/>
      <w:r w:rsidRPr="004D7D4A">
        <w:rPr>
          <w:rFonts w:ascii="Times New Roman" w:hAnsi="Times New Roman" w:cs="Times New Roman"/>
          <w:sz w:val="30"/>
          <w:szCs w:val="30"/>
        </w:rPr>
        <w:t xml:space="preserve"> увеличилось с 281 до 324, доходы от </w:t>
      </w:r>
      <w:proofErr w:type="spellStart"/>
      <w:r w:rsidRPr="004D7D4A">
        <w:rPr>
          <w:rFonts w:ascii="Times New Roman" w:hAnsi="Times New Roman" w:cs="Times New Roman"/>
          <w:sz w:val="30"/>
          <w:szCs w:val="30"/>
        </w:rPr>
        <w:t>агроэкотуризмаувеличилась</w:t>
      </w:r>
      <w:proofErr w:type="spellEnd"/>
      <w:r w:rsidRPr="004D7D4A">
        <w:rPr>
          <w:rFonts w:ascii="Times New Roman" w:hAnsi="Times New Roman" w:cs="Times New Roman"/>
          <w:sz w:val="30"/>
          <w:szCs w:val="30"/>
        </w:rPr>
        <w:t xml:space="preserve"> на 30 % и составили 1,7 млн. рублей.</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После </w:t>
      </w:r>
      <w:proofErr w:type="spellStart"/>
      <w:r w:rsidRPr="004D7D4A">
        <w:rPr>
          <w:rFonts w:ascii="Times New Roman" w:hAnsi="Times New Roman" w:cs="Times New Roman"/>
          <w:sz w:val="30"/>
          <w:szCs w:val="30"/>
        </w:rPr>
        <w:t>пролонгирования</w:t>
      </w:r>
      <w:proofErr w:type="spellEnd"/>
      <w:r w:rsidRPr="004D7D4A">
        <w:rPr>
          <w:rFonts w:ascii="Times New Roman" w:hAnsi="Times New Roman" w:cs="Times New Roman"/>
          <w:sz w:val="30"/>
          <w:szCs w:val="30"/>
        </w:rPr>
        <w:t xml:space="preserve"> Указа Президента Республики Беларусь по безвизовому въезду в 2018 году будет продолжена работа по реализации мероприятий для дальнейшего развитию сферы услуг и сервиса, создания условий для комфортного пребывания туристов в Гродненском районе и г. Гродно.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Основным вектором развития туризма области в 2018 году останется развитие Августовского канала, а именно: увеличение его транспортной доступности, развитие услуг на Августовском канале. Будет проводиться работа по созданию инфраструктуры пунктов пропуска </w:t>
      </w:r>
      <w:proofErr w:type="spellStart"/>
      <w:r w:rsidRPr="004D7D4A">
        <w:rPr>
          <w:rFonts w:ascii="Times New Roman" w:hAnsi="Times New Roman" w:cs="Times New Roman"/>
          <w:sz w:val="30"/>
          <w:szCs w:val="30"/>
        </w:rPr>
        <w:t>Софиево</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Липщаны</w:t>
      </w:r>
      <w:proofErr w:type="spellEnd"/>
      <w:r w:rsidRPr="004D7D4A">
        <w:rPr>
          <w:rFonts w:ascii="Times New Roman" w:hAnsi="Times New Roman" w:cs="Times New Roman"/>
          <w:sz w:val="30"/>
          <w:szCs w:val="30"/>
        </w:rPr>
        <w:t xml:space="preserve"> и </w:t>
      </w:r>
      <w:proofErr w:type="spellStart"/>
      <w:r w:rsidRPr="004D7D4A">
        <w:rPr>
          <w:rFonts w:ascii="Times New Roman" w:hAnsi="Times New Roman" w:cs="Times New Roman"/>
          <w:sz w:val="30"/>
          <w:szCs w:val="30"/>
        </w:rPr>
        <w:t>Привалка</w:t>
      </w:r>
      <w:proofErr w:type="spellEnd"/>
      <w:r w:rsidRPr="004D7D4A">
        <w:rPr>
          <w:rFonts w:ascii="Times New Roman" w:hAnsi="Times New Roman" w:cs="Times New Roman"/>
          <w:sz w:val="30"/>
          <w:szCs w:val="30"/>
        </w:rPr>
        <w:t xml:space="preserve"> – </w:t>
      </w:r>
      <w:proofErr w:type="spellStart"/>
      <w:r w:rsidRPr="004D7D4A">
        <w:rPr>
          <w:rFonts w:ascii="Times New Roman" w:hAnsi="Times New Roman" w:cs="Times New Roman"/>
          <w:sz w:val="30"/>
          <w:szCs w:val="30"/>
        </w:rPr>
        <w:t>Швяндубре</w:t>
      </w:r>
      <w:proofErr w:type="spellEnd"/>
      <w:r w:rsidRPr="004D7D4A">
        <w:rPr>
          <w:rFonts w:ascii="Times New Roman" w:hAnsi="Times New Roman" w:cs="Times New Roman"/>
          <w:sz w:val="30"/>
          <w:szCs w:val="30"/>
        </w:rPr>
        <w:t>. В 2018 году будут инициированы переговоры с польской стороной по заключению Соглашения по вопросам содержания пограничного участка и судоходства по Августовскому каналу.</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Продолжится тесное сотрудничество с </w:t>
      </w:r>
      <w:proofErr w:type="spellStart"/>
      <w:r w:rsidRPr="004D7D4A">
        <w:rPr>
          <w:rFonts w:ascii="Times New Roman" w:hAnsi="Times New Roman" w:cs="Times New Roman"/>
          <w:sz w:val="30"/>
          <w:szCs w:val="30"/>
        </w:rPr>
        <w:t>Подлясским</w:t>
      </w:r>
      <w:proofErr w:type="spellEnd"/>
      <w:r w:rsidRPr="004D7D4A">
        <w:rPr>
          <w:rFonts w:ascii="Times New Roman" w:hAnsi="Times New Roman" w:cs="Times New Roman"/>
          <w:sz w:val="30"/>
          <w:szCs w:val="30"/>
        </w:rPr>
        <w:t xml:space="preserve"> воеводством Республики Польша посредством проведения заседаний рабочих групп по развитию Августовского канала, совместному участию в проектах международной технической помощи, реализации проекта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2018 году поступательно будет проводится работа по презентации туристического потенциала Гродненской области в рамках выставок, форумов, проводимых за рубежом, будут проведены рекламные туры, </w:t>
      </w:r>
      <w:proofErr w:type="spellStart"/>
      <w:r w:rsidRPr="004D7D4A">
        <w:rPr>
          <w:rFonts w:ascii="Times New Roman" w:hAnsi="Times New Roman" w:cs="Times New Roman"/>
          <w:sz w:val="30"/>
          <w:szCs w:val="30"/>
        </w:rPr>
        <w:t>воркшопы</w:t>
      </w:r>
      <w:proofErr w:type="spellEnd"/>
      <w:r w:rsidRPr="004D7D4A">
        <w:rPr>
          <w:rFonts w:ascii="Times New Roman" w:hAnsi="Times New Roman" w:cs="Times New Roman"/>
          <w:sz w:val="30"/>
          <w:szCs w:val="30"/>
        </w:rPr>
        <w:t xml:space="preserve"> для зарубежных туроператоров. В 2018 году будет реализован План мероприятий, посвященных Году туризма между Гродненской областью и провинцией </w:t>
      </w:r>
      <w:proofErr w:type="spellStart"/>
      <w:r w:rsidRPr="004D7D4A">
        <w:rPr>
          <w:rFonts w:ascii="Times New Roman" w:hAnsi="Times New Roman" w:cs="Times New Roman"/>
          <w:sz w:val="30"/>
          <w:szCs w:val="30"/>
        </w:rPr>
        <w:t>Ганьсу</w:t>
      </w:r>
      <w:proofErr w:type="spellEnd"/>
      <w:r w:rsidRPr="004D7D4A">
        <w:rPr>
          <w:rFonts w:ascii="Times New Roman" w:hAnsi="Times New Roman" w:cs="Times New Roman"/>
          <w:sz w:val="30"/>
          <w:szCs w:val="30"/>
        </w:rPr>
        <w:t xml:space="preserve"> (Китайская Народная Республика).</w:t>
      </w:r>
    </w:p>
    <w:p w:rsidR="004D7D4A" w:rsidRPr="004D7D4A" w:rsidRDefault="004D7D4A" w:rsidP="00A62E1C">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Пристальное внимание будет уделено развитию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 xml:space="preserve"> за счет привлечения сельских жителей к агробизнесу. Планируется широко осветить данную тему в средствах массовой информации, провести работу по разъяснению норм Указа Президента Республики Беларусь от 9 октября 2017 г. № 365 «О развитии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 xml:space="preserve">» через сельские и поселковые советы, старост для создания рабочих мест на селе в сфере </w:t>
      </w:r>
      <w:proofErr w:type="spellStart"/>
      <w:r w:rsidRPr="004D7D4A">
        <w:rPr>
          <w:rFonts w:ascii="Times New Roman" w:hAnsi="Times New Roman" w:cs="Times New Roman"/>
          <w:sz w:val="30"/>
          <w:szCs w:val="30"/>
        </w:rPr>
        <w:t>агроэкотуризма</w:t>
      </w:r>
      <w:proofErr w:type="spellEnd"/>
      <w:r w:rsidRPr="004D7D4A">
        <w:rPr>
          <w:rFonts w:ascii="Times New Roman" w:hAnsi="Times New Roman" w:cs="Times New Roman"/>
          <w:sz w:val="30"/>
          <w:szCs w:val="30"/>
        </w:rPr>
        <w:t>.</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По всей области продолжится работа по установке знаков маршрутного ориентирования, дальнейшее развитие получит промышленный, познавательный, экологический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Экспорт туристических услуг в 2018 году планируется увеличить до 10,2 млн. долларов США (или 112,3% к уровню 2017 года).</w:t>
      </w:r>
    </w:p>
    <w:p w:rsidR="00787AAC" w:rsidRPr="00D17703" w:rsidRDefault="00787AAC" w:rsidP="00787AAC">
      <w:pPr>
        <w:spacing w:after="0" w:line="240" w:lineRule="auto"/>
        <w:ind w:left="-284" w:firstLine="700"/>
        <w:jc w:val="both"/>
        <w:rPr>
          <w:rFonts w:ascii="Times New Roman" w:hAnsi="Times New Roman" w:cs="Times New Roman"/>
          <w:b/>
          <w:i/>
          <w:sz w:val="28"/>
          <w:szCs w:val="28"/>
        </w:rPr>
      </w:pPr>
      <w:r w:rsidRPr="00D17703">
        <w:rPr>
          <w:rFonts w:ascii="Times New Roman" w:hAnsi="Times New Roman" w:cs="Times New Roman"/>
          <w:b/>
          <w:i/>
          <w:sz w:val="28"/>
          <w:szCs w:val="28"/>
        </w:rPr>
        <w:t>Для организации физкультурно-спортивной работы с населением функционирует 104</w:t>
      </w:r>
      <w:r w:rsidRPr="00DD7551">
        <w:rPr>
          <w:rFonts w:ascii="Times New Roman" w:hAnsi="Times New Roman" w:cs="Times New Roman"/>
          <w:b/>
          <w:i/>
          <w:sz w:val="28"/>
          <w:szCs w:val="28"/>
        </w:rPr>
        <w:t xml:space="preserve"> </w:t>
      </w:r>
      <w:proofErr w:type="gramStart"/>
      <w:r w:rsidRPr="00DD7551">
        <w:rPr>
          <w:rFonts w:ascii="Times New Roman" w:hAnsi="Times New Roman" w:cs="Times New Roman"/>
          <w:b/>
          <w:i/>
          <w:sz w:val="28"/>
          <w:szCs w:val="28"/>
        </w:rPr>
        <w:t>спортивных</w:t>
      </w:r>
      <w:proofErr w:type="gramEnd"/>
      <w:r w:rsidRPr="00DD7551">
        <w:rPr>
          <w:rFonts w:ascii="Times New Roman" w:hAnsi="Times New Roman" w:cs="Times New Roman"/>
          <w:b/>
          <w:i/>
          <w:sz w:val="28"/>
          <w:szCs w:val="28"/>
        </w:rPr>
        <w:t xml:space="preserve"> сооружения</w:t>
      </w:r>
      <w:r w:rsidRPr="00D17703">
        <w:rPr>
          <w:rFonts w:ascii="Times New Roman" w:hAnsi="Times New Roman" w:cs="Times New Roman"/>
          <w:b/>
          <w:i/>
          <w:sz w:val="28"/>
          <w:szCs w:val="28"/>
        </w:rPr>
        <w:t xml:space="preserve">. Ведется работа по улучшению материально-технической базы. В 2016 году введены в действие тренажерный зал гимназии №1 </w:t>
      </w:r>
      <w:proofErr w:type="spellStart"/>
      <w:r w:rsidRPr="00D17703">
        <w:rPr>
          <w:rFonts w:ascii="Times New Roman" w:hAnsi="Times New Roman" w:cs="Times New Roman"/>
          <w:b/>
          <w:i/>
          <w:sz w:val="28"/>
          <w:szCs w:val="28"/>
        </w:rPr>
        <w:t>г.п</w:t>
      </w:r>
      <w:proofErr w:type="spellEnd"/>
      <w:r w:rsidRPr="00D17703">
        <w:rPr>
          <w:rFonts w:ascii="Times New Roman" w:hAnsi="Times New Roman" w:cs="Times New Roman"/>
          <w:b/>
          <w:i/>
          <w:sz w:val="28"/>
          <w:szCs w:val="28"/>
        </w:rPr>
        <w:t xml:space="preserve">. Зельва, оборудовано помещение для стрельбы в СШ №2 </w:t>
      </w:r>
      <w:proofErr w:type="spellStart"/>
      <w:r w:rsidRPr="00D17703">
        <w:rPr>
          <w:rFonts w:ascii="Times New Roman" w:hAnsi="Times New Roman" w:cs="Times New Roman"/>
          <w:b/>
          <w:i/>
          <w:sz w:val="28"/>
          <w:szCs w:val="28"/>
        </w:rPr>
        <w:t>г.п</w:t>
      </w:r>
      <w:proofErr w:type="spellEnd"/>
      <w:r w:rsidRPr="00D17703">
        <w:rPr>
          <w:rFonts w:ascii="Times New Roman" w:hAnsi="Times New Roman" w:cs="Times New Roman"/>
          <w:b/>
          <w:i/>
          <w:sz w:val="28"/>
          <w:szCs w:val="28"/>
        </w:rPr>
        <w:t xml:space="preserve">. Зельва, комплекс уличных тренажеров на городском стадионе «Колос». </w:t>
      </w:r>
    </w:p>
    <w:p w:rsidR="00787AAC" w:rsidRPr="00D17703" w:rsidRDefault="00787AAC" w:rsidP="00787AAC">
      <w:pPr>
        <w:spacing w:after="0" w:line="240" w:lineRule="auto"/>
        <w:ind w:left="-284" w:firstLine="708"/>
        <w:jc w:val="both"/>
        <w:rPr>
          <w:rFonts w:ascii="Arial" w:eastAsia="Arial" w:hAnsi="Arial" w:cs="Arial"/>
          <w:b/>
          <w:i/>
          <w:color w:val="000000"/>
          <w:sz w:val="28"/>
          <w:szCs w:val="28"/>
          <w:lang w:eastAsia="ru-RU"/>
        </w:rPr>
      </w:pPr>
      <w:r w:rsidRPr="00DD7551">
        <w:rPr>
          <w:rFonts w:ascii="Times New Roman" w:eastAsia="Arial" w:hAnsi="Times New Roman" w:cs="Times New Roman"/>
          <w:b/>
          <w:i/>
          <w:color w:val="000000"/>
          <w:sz w:val="28"/>
          <w:szCs w:val="28"/>
          <w:lang w:eastAsia="ru-RU"/>
        </w:rPr>
        <w:t xml:space="preserve">В </w:t>
      </w:r>
      <w:r w:rsidRPr="00D17703">
        <w:rPr>
          <w:rFonts w:ascii="Times New Roman" w:eastAsia="Arial" w:hAnsi="Times New Roman" w:cs="Times New Roman"/>
          <w:b/>
          <w:i/>
          <w:color w:val="000000"/>
          <w:sz w:val="28"/>
          <w:szCs w:val="28"/>
          <w:lang w:eastAsia="ru-RU"/>
        </w:rPr>
        <w:t xml:space="preserve">2017 году на базе государственного учреждения «Детско-юношеская спортивная школа </w:t>
      </w:r>
      <w:proofErr w:type="spellStart"/>
      <w:r w:rsidRPr="00D17703">
        <w:rPr>
          <w:rFonts w:ascii="Times New Roman" w:eastAsia="Arial" w:hAnsi="Times New Roman" w:cs="Times New Roman"/>
          <w:b/>
          <w:i/>
          <w:color w:val="000000"/>
          <w:sz w:val="28"/>
          <w:szCs w:val="28"/>
          <w:lang w:eastAsia="ru-RU"/>
        </w:rPr>
        <w:t>г.п</w:t>
      </w:r>
      <w:proofErr w:type="spellEnd"/>
      <w:r w:rsidRPr="00D17703">
        <w:rPr>
          <w:rFonts w:ascii="Times New Roman" w:eastAsia="Arial" w:hAnsi="Times New Roman" w:cs="Times New Roman"/>
          <w:b/>
          <w:i/>
          <w:color w:val="000000"/>
          <w:sz w:val="28"/>
          <w:szCs w:val="28"/>
          <w:lang w:eastAsia="ru-RU"/>
        </w:rPr>
        <w:t>. Зельва» организованы занятия в 27 группах по 3-м олимпийским видам спорта (гандбол, футбол, легкая атлетика), с общим количеством занимающихся 316 человек.</w:t>
      </w:r>
    </w:p>
    <w:p w:rsidR="00787AAC" w:rsidRPr="00D17703" w:rsidRDefault="00787AAC" w:rsidP="00787AAC">
      <w:pPr>
        <w:autoSpaceDE w:val="0"/>
        <w:autoSpaceDN w:val="0"/>
        <w:adjustRightInd w:val="0"/>
        <w:spacing w:after="0" w:line="346" w:lineRule="exact"/>
        <w:ind w:left="-284" w:firstLine="709"/>
        <w:jc w:val="both"/>
        <w:rPr>
          <w:rFonts w:ascii="Times New Roman" w:eastAsia="Times New Roman" w:hAnsi="Times New Roman" w:cs="Times New Roman"/>
          <w:b/>
          <w:i/>
          <w:sz w:val="28"/>
          <w:szCs w:val="28"/>
          <w:lang w:eastAsia="ru-RU"/>
        </w:rPr>
      </w:pPr>
      <w:r w:rsidRPr="00D17703">
        <w:rPr>
          <w:rFonts w:ascii="Times New Roman" w:eastAsia="Times New Roman" w:hAnsi="Times New Roman" w:cs="Times New Roman"/>
          <w:b/>
          <w:i/>
          <w:sz w:val="28"/>
          <w:szCs w:val="28"/>
          <w:lang w:eastAsia="ru-RU"/>
        </w:rPr>
        <w:t xml:space="preserve">В 2017 году продолжили работу специализированные по спорту классы на базе </w:t>
      </w:r>
      <w:proofErr w:type="spellStart"/>
      <w:r w:rsidRPr="00D17703">
        <w:rPr>
          <w:rFonts w:ascii="Times New Roman" w:eastAsia="Times New Roman" w:hAnsi="Times New Roman" w:cs="Times New Roman"/>
          <w:b/>
          <w:i/>
          <w:sz w:val="28"/>
          <w:szCs w:val="28"/>
          <w:lang w:eastAsia="ru-RU"/>
        </w:rPr>
        <w:t>Деречинского</w:t>
      </w:r>
      <w:proofErr w:type="spellEnd"/>
      <w:r w:rsidRPr="00D17703">
        <w:rPr>
          <w:rFonts w:ascii="Times New Roman" w:eastAsia="Times New Roman" w:hAnsi="Times New Roman" w:cs="Times New Roman"/>
          <w:b/>
          <w:i/>
          <w:sz w:val="28"/>
          <w:szCs w:val="28"/>
          <w:lang w:eastAsia="ru-RU"/>
        </w:rPr>
        <w:t xml:space="preserve"> д/с-СШ, СШ № 2 </w:t>
      </w:r>
      <w:proofErr w:type="spellStart"/>
      <w:r w:rsidRPr="00D17703">
        <w:rPr>
          <w:rFonts w:ascii="Times New Roman" w:eastAsia="Times New Roman" w:hAnsi="Times New Roman" w:cs="Times New Roman"/>
          <w:b/>
          <w:i/>
          <w:sz w:val="28"/>
          <w:szCs w:val="28"/>
          <w:lang w:eastAsia="ru-RU"/>
        </w:rPr>
        <w:t>г.п</w:t>
      </w:r>
      <w:proofErr w:type="spellEnd"/>
      <w:r w:rsidRPr="00D17703">
        <w:rPr>
          <w:rFonts w:ascii="Times New Roman" w:eastAsia="Times New Roman" w:hAnsi="Times New Roman" w:cs="Times New Roman"/>
          <w:b/>
          <w:i/>
          <w:sz w:val="28"/>
          <w:szCs w:val="28"/>
          <w:lang w:eastAsia="ru-RU"/>
        </w:rPr>
        <w:t xml:space="preserve">. Зельва. </w:t>
      </w:r>
    </w:p>
    <w:p w:rsidR="00787AAC" w:rsidRPr="00D17703" w:rsidRDefault="00787AAC" w:rsidP="00787AAC">
      <w:pPr>
        <w:spacing w:after="0" w:line="240" w:lineRule="auto"/>
        <w:ind w:left="-284" w:firstLine="708"/>
        <w:jc w:val="both"/>
        <w:rPr>
          <w:rFonts w:ascii="Times New Roman" w:hAnsi="Times New Roman" w:cs="Times New Roman"/>
          <w:b/>
          <w:i/>
          <w:sz w:val="28"/>
          <w:szCs w:val="28"/>
        </w:rPr>
      </w:pPr>
      <w:r w:rsidRPr="00D17703">
        <w:rPr>
          <w:rFonts w:ascii="Times New Roman" w:hAnsi="Times New Roman" w:cs="Times New Roman"/>
          <w:b/>
          <w:i/>
          <w:sz w:val="28"/>
          <w:szCs w:val="28"/>
        </w:rPr>
        <w:t xml:space="preserve">За 2017 год в районе принято более 6300 туристов из них 849 иностранных туристов из России, Польши, Латвии, Азербайджана, Эстонии, Израиля, Словения. Показатель экспорта туристических услуг в 2017 году выполнен в объеме 11,7 тыс. долларов, что составило 111,4% к уровню 2016 года. Соответственно, в первую очередь, по данным направлениям работает и маркетинг туристических услуг.  </w:t>
      </w:r>
    </w:p>
    <w:p w:rsidR="00787AAC" w:rsidRPr="00D17703" w:rsidRDefault="00787AAC" w:rsidP="00787AAC">
      <w:pPr>
        <w:spacing w:after="0" w:line="240" w:lineRule="auto"/>
        <w:ind w:left="-284" w:firstLine="708"/>
        <w:jc w:val="both"/>
        <w:rPr>
          <w:rFonts w:ascii="Times New Roman" w:hAnsi="Times New Roman" w:cs="Times New Roman"/>
          <w:b/>
          <w:i/>
          <w:sz w:val="28"/>
          <w:szCs w:val="28"/>
        </w:rPr>
      </w:pPr>
      <w:r w:rsidRPr="00D17703">
        <w:rPr>
          <w:rFonts w:ascii="Times New Roman" w:eastAsia="Times New Roman" w:hAnsi="Times New Roman" w:cs="Times New Roman"/>
          <w:b/>
          <w:i/>
          <w:color w:val="000000"/>
          <w:sz w:val="28"/>
          <w:szCs w:val="28"/>
          <w:lang w:eastAsia="ru-RU"/>
        </w:rPr>
        <w:t xml:space="preserve">Оказанием туристических услуг населению в районе занимаются  субъекты </w:t>
      </w:r>
      <w:proofErr w:type="spellStart"/>
      <w:r w:rsidRPr="00D17703">
        <w:rPr>
          <w:rFonts w:ascii="Times New Roman" w:eastAsia="Times New Roman" w:hAnsi="Times New Roman" w:cs="Times New Roman"/>
          <w:b/>
          <w:i/>
          <w:color w:val="000000"/>
          <w:sz w:val="28"/>
          <w:szCs w:val="28"/>
          <w:lang w:eastAsia="ru-RU"/>
        </w:rPr>
        <w:t>агроэкотуризма</w:t>
      </w:r>
      <w:proofErr w:type="spellEnd"/>
      <w:r w:rsidRPr="00D17703">
        <w:rPr>
          <w:rFonts w:ascii="Times New Roman" w:eastAsia="Times New Roman" w:hAnsi="Times New Roman" w:cs="Times New Roman"/>
          <w:b/>
          <w:i/>
          <w:color w:val="000000"/>
          <w:sz w:val="28"/>
          <w:szCs w:val="28"/>
          <w:lang w:eastAsia="ru-RU"/>
        </w:rPr>
        <w:t xml:space="preserve">. В 2017 году начала функционировать </w:t>
      </w:r>
      <w:proofErr w:type="gramStart"/>
      <w:r w:rsidRPr="00D17703">
        <w:rPr>
          <w:rFonts w:ascii="Times New Roman" w:eastAsia="Times New Roman" w:hAnsi="Times New Roman" w:cs="Times New Roman"/>
          <w:b/>
          <w:i/>
          <w:color w:val="000000"/>
          <w:sz w:val="28"/>
          <w:szCs w:val="28"/>
          <w:lang w:eastAsia="ru-RU"/>
        </w:rPr>
        <w:t>новая</w:t>
      </w:r>
      <w:proofErr w:type="gramEnd"/>
      <w:r w:rsidRPr="00D17703">
        <w:rPr>
          <w:rFonts w:ascii="Times New Roman" w:eastAsia="Times New Roman" w:hAnsi="Times New Roman" w:cs="Times New Roman"/>
          <w:b/>
          <w:i/>
          <w:color w:val="000000"/>
          <w:sz w:val="28"/>
          <w:szCs w:val="28"/>
          <w:lang w:eastAsia="ru-RU"/>
        </w:rPr>
        <w:t xml:space="preserve"> </w:t>
      </w:r>
      <w:proofErr w:type="spellStart"/>
      <w:r w:rsidRPr="00D17703">
        <w:rPr>
          <w:rFonts w:ascii="Times New Roman" w:eastAsia="Times New Roman" w:hAnsi="Times New Roman" w:cs="Times New Roman"/>
          <w:b/>
          <w:i/>
          <w:color w:val="000000"/>
          <w:sz w:val="28"/>
          <w:szCs w:val="28"/>
          <w:lang w:eastAsia="ru-RU"/>
        </w:rPr>
        <w:t>агроусадьба</w:t>
      </w:r>
      <w:proofErr w:type="spellEnd"/>
      <w:r w:rsidRPr="00D17703">
        <w:rPr>
          <w:rFonts w:ascii="Times New Roman" w:eastAsia="Times New Roman" w:hAnsi="Times New Roman" w:cs="Times New Roman"/>
          <w:b/>
          <w:i/>
          <w:color w:val="000000"/>
          <w:sz w:val="28"/>
          <w:szCs w:val="28"/>
          <w:lang w:eastAsia="ru-RU"/>
        </w:rPr>
        <w:t xml:space="preserve"> «Звездная». В районе </w:t>
      </w:r>
      <w:proofErr w:type="gramStart"/>
      <w:r w:rsidRPr="00D17703">
        <w:rPr>
          <w:rFonts w:ascii="Times New Roman" w:eastAsia="Times New Roman" w:hAnsi="Times New Roman" w:cs="Times New Roman"/>
          <w:b/>
          <w:i/>
          <w:color w:val="000000"/>
          <w:sz w:val="28"/>
          <w:szCs w:val="28"/>
          <w:lang w:eastAsia="ru-RU"/>
        </w:rPr>
        <w:t>на конец</w:t>
      </w:r>
      <w:proofErr w:type="gramEnd"/>
      <w:r w:rsidRPr="00D17703">
        <w:rPr>
          <w:rFonts w:ascii="Times New Roman" w:eastAsia="Times New Roman" w:hAnsi="Times New Roman" w:cs="Times New Roman"/>
          <w:b/>
          <w:i/>
          <w:color w:val="000000"/>
          <w:sz w:val="28"/>
          <w:szCs w:val="28"/>
          <w:lang w:eastAsia="ru-RU"/>
        </w:rPr>
        <w:t xml:space="preserve"> 2017 года зарегистрировано 8 </w:t>
      </w:r>
      <w:proofErr w:type="spellStart"/>
      <w:r w:rsidRPr="00D17703">
        <w:rPr>
          <w:rFonts w:ascii="Times New Roman" w:eastAsia="Times New Roman" w:hAnsi="Times New Roman" w:cs="Times New Roman"/>
          <w:b/>
          <w:i/>
          <w:color w:val="000000"/>
          <w:sz w:val="28"/>
          <w:szCs w:val="28"/>
          <w:lang w:eastAsia="ru-RU"/>
        </w:rPr>
        <w:t>агроусадеб</w:t>
      </w:r>
      <w:proofErr w:type="spellEnd"/>
      <w:r w:rsidRPr="00D17703">
        <w:rPr>
          <w:rFonts w:ascii="Times New Roman" w:eastAsia="Times New Roman" w:hAnsi="Times New Roman" w:cs="Times New Roman"/>
          <w:b/>
          <w:i/>
          <w:color w:val="000000"/>
          <w:sz w:val="28"/>
          <w:szCs w:val="28"/>
          <w:lang w:eastAsia="ru-RU"/>
        </w:rPr>
        <w:t>.</w:t>
      </w:r>
      <w:r w:rsidRPr="00D17703">
        <w:rPr>
          <w:rFonts w:ascii="Arial" w:eastAsia="Arial" w:hAnsi="Arial" w:cs="Arial"/>
          <w:b/>
          <w:i/>
          <w:color w:val="000000"/>
          <w:sz w:val="28"/>
          <w:szCs w:val="28"/>
          <w:lang w:eastAsia="ru-RU"/>
        </w:rPr>
        <w:t xml:space="preserve"> </w:t>
      </w:r>
      <w:r w:rsidRPr="00D17703">
        <w:rPr>
          <w:rFonts w:ascii="Times New Roman" w:eastAsia="Times New Roman" w:hAnsi="Times New Roman" w:cs="Times New Roman"/>
          <w:b/>
          <w:i/>
          <w:color w:val="000000"/>
          <w:sz w:val="28"/>
          <w:szCs w:val="28"/>
          <w:lang w:eastAsia="ru-RU"/>
        </w:rPr>
        <w:t xml:space="preserve">В  2017 году </w:t>
      </w:r>
      <w:proofErr w:type="spellStart"/>
      <w:r w:rsidRPr="00D17703">
        <w:rPr>
          <w:rFonts w:ascii="Times New Roman" w:eastAsia="Times New Roman" w:hAnsi="Times New Roman" w:cs="Times New Roman"/>
          <w:b/>
          <w:i/>
          <w:color w:val="000000"/>
          <w:sz w:val="28"/>
          <w:szCs w:val="28"/>
          <w:lang w:eastAsia="ru-RU"/>
        </w:rPr>
        <w:t>агроусадьбы</w:t>
      </w:r>
      <w:proofErr w:type="spellEnd"/>
      <w:r w:rsidRPr="00D17703">
        <w:rPr>
          <w:rFonts w:ascii="Times New Roman" w:eastAsia="Times New Roman" w:hAnsi="Times New Roman" w:cs="Times New Roman"/>
          <w:b/>
          <w:i/>
          <w:color w:val="000000"/>
          <w:sz w:val="28"/>
          <w:szCs w:val="28"/>
          <w:lang w:eastAsia="ru-RU"/>
        </w:rPr>
        <w:t xml:space="preserve"> </w:t>
      </w:r>
      <w:proofErr w:type="spellStart"/>
      <w:r w:rsidRPr="00D17703">
        <w:rPr>
          <w:rFonts w:ascii="Times New Roman" w:eastAsia="Times New Roman" w:hAnsi="Times New Roman" w:cs="Times New Roman"/>
          <w:b/>
          <w:i/>
          <w:color w:val="000000"/>
          <w:sz w:val="28"/>
          <w:szCs w:val="28"/>
          <w:lang w:eastAsia="ru-RU"/>
        </w:rPr>
        <w:t>Зельвенского</w:t>
      </w:r>
      <w:proofErr w:type="spellEnd"/>
      <w:r w:rsidRPr="00D17703">
        <w:rPr>
          <w:rFonts w:ascii="Times New Roman" w:eastAsia="Times New Roman" w:hAnsi="Times New Roman" w:cs="Times New Roman"/>
          <w:b/>
          <w:i/>
          <w:color w:val="000000"/>
          <w:sz w:val="28"/>
          <w:szCs w:val="28"/>
          <w:lang w:eastAsia="ru-RU"/>
        </w:rPr>
        <w:t xml:space="preserve"> района посетило 2679 человек, что на 975 туристов меньше</w:t>
      </w:r>
      <w:r w:rsidRPr="00DD7551">
        <w:rPr>
          <w:rFonts w:ascii="Times New Roman" w:eastAsia="Times New Roman" w:hAnsi="Times New Roman" w:cs="Times New Roman"/>
          <w:b/>
          <w:i/>
          <w:color w:val="000000"/>
          <w:sz w:val="28"/>
          <w:szCs w:val="28"/>
          <w:lang w:eastAsia="ru-RU"/>
        </w:rPr>
        <w:t>,</w:t>
      </w:r>
      <w:r w:rsidRPr="00D17703">
        <w:rPr>
          <w:rFonts w:ascii="Times New Roman" w:eastAsia="Times New Roman" w:hAnsi="Times New Roman" w:cs="Times New Roman"/>
          <w:b/>
          <w:i/>
          <w:color w:val="000000"/>
          <w:sz w:val="28"/>
          <w:szCs w:val="28"/>
          <w:lang w:eastAsia="ru-RU"/>
        </w:rPr>
        <w:t xml:space="preserve"> чем в 2016 году. Большую часть </w:t>
      </w:r>
      <w:proofErr w:type="gramStart"/>
      <w:r w:rsidRPr="00D17703">
        <w:rPr>
          <w:rFonts w:ascii="Times New Roman" w:eastAsia="Times New Roman" w:hAnsi="Times New Roman" w:cs="Times New Roman"/>
          <w:b/>
          <w:i/>
          <w:color w:val="000000"/>
          <w:sz w:val="28"/>
          <w:szCs w:val="28"/>
          <w:lang w:eastAsia="ru-RU"/>
        </w:rPr>
        <w:t>посетивших</w:t>
      </w:r>
      <w:proofErr w:type="gramEnd"/>
      <w:r w:rsidRPr="00D17703">
        <w:rPr>
          <w:rFonts w:ascii="Times New Roman" w:eastAsia="Times New Roman" w:hAnsi="Times New Roman" w:cs="Times New Roman"/>
          <w:b/>
          <w:i/>
          <w:color w:val="000000"/>
          <w:sz w:val="28"/>
          <w:szCs w:val="28"/>
          <w:lang w:eastAsia="ru-RU"/>
        </w:rPr>
        <w:t xml:space="preserve"> составили граждане Республики Беларусь. Иностранцев 443 человек</w:t>
      </w:r>
      <w:r w:rsidRPr="00DD7551">
        <w:rPr>
          <w:rFonts w:ascii="Times New Roman" w:eastAsia="Times New Roman" w:hAnsi="Times New Roman" w:cs="Times New Roman"/>
          <w:b/>
          <w:i/>
          <w:color w:val="000000"/>
          <w:sz w:val="28"/>
          <w:szCs w:val="28"/>
          <w:lang w:eastAsia="ru-RU"/>
        </w:rPr>
        <w:t>а</w:t>
      </w:r>
      <w:r w:rsidRPr="00D17703">
        <w:rPr>
          <w:rFonts w:ascii="Times New Roman" w:eastAsia="Times New Roman" w:hAnsi="Times New Roman" w:cs="Times New Roman"/>
          <w:b/>
          <w:i/>
          <w:color w:val="000000"/>
          <w:sz w:val="28"/>
          <w:szCs w:val="28"/>
          <w:lang w:eastAsia="ru-RU"/>
        </w:rPr>
        <w:t xml:space="preserve">, в том числе 98 россиян. </w:t>
      </w:r>
    </w:p>
    <w:p w:rsidR="00F14651" w:rsidRPr="004D7D4A" w:rsidRDefault="00F14651" w:rsidP="004D7D4A">
      <w:pPr>
        <w:pStyle w:val="a3"/>
        <w:ind w:firstLine="708"/>
        <w:jc w:val="both"/>
        <w:rPr>
          <w:rFonts w:ascii="Times New Roman" w:hAnsi="Times New Roman" w:cs="Times New Roman"/>
          <w:sz w:val="30"/>
          <w:szCs w:val="30"/>
        </w:rPr>
      </w:pPr>
    </w:p>
    <w:sectPr w:rsidR="00F14651" w:rsidRPr="004D7D4A" w:rsidSect="0038417D">
      <w:headerReference w:type="default" r:id="rId18"/>
      <w:pgSz w:w="11900" w:h="16840"/>
      <w:pgMar w:top="568" w:right="705" w:bottom="99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01" w:rsidRDefault="00DE2701" w:rsidP="00E677D2">
      <w:pPr>
        <w:spacing w:after="0" w:line="240" w:lineRule="auto"/>
      </w:pPr>
      <w:r>
        <w:separator/>
      </w:r>
    </w:p>
  </w:endnote>
  <w:endnote w:type="continuationSeparator" w:id="0">
    <w:p w:rsidR="00DE2701" w:rsidRDefault="00DE2701" w:rsidP="00E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01" w:rsidRDefault="00DE2701" w:rsidP="00E677D2">
      <w:pPr>
        <w:spacing w:after="0" w:line="240" w:lineRule="auto"/>
      </w:pPr>
      <w:r>
        <w:separator/>
      </w:r>
    </w:p>
  </w:footnote>
  <w:footnote w:type="continuationSeparator" w:id="0">
    <w:p w:rsidR="00DE2701" w:rsidRDefault="00DE2701" w:rsidP="00E67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05595"/>
      <w:docPartObj>
        <w:docPartGallery w:val="Page Numbers (Top of Page)"/>
        <w:docPartUnique/>
      </w:docPartObj>
    </w:sdtPr>
    <w:sdtEndPr/>
    <w:sdtContent>
      <w:p w:rsidR="00905968" w:rsidRDefault="00E85178">
        <w:pPr>
          <w:pStyle w:val="a8"/>
        </w:pPr>
        <w:r>
          <w:rPr>
            <w:noProof/>
            <w:lang w:eastAsia="ru-RU"/>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6368415" cy="365760"/>
                  <wp:effectExtent l="0" t="19050" r="12065" b="15240"/>
                  <wp:wrapNone/>
                  <wp:docPr id="65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905968" w:rsidRDefault="00D80470">
                                <w:pPr>
                                  <w:jc w:val="center"/>
                                </w:pPr>
                                <w:r>
                                  <w:fldChar w:fldCharType="begin"/>
                                </w:r>
                                <w:r w:rsidR="00905968">
                                  <w:instrText>PAGE    \* MERGEFORMAT</w:instrText>
                                </w:r>
                                <w:r>
                                  <w:fldChar w:fldCharType="separate"/>
                                </w:r>
                                <w:r w:rsidR="00257823">
                                  <w:rPr>
                                    <w:noProof/>
                                  </w:rPr>
                                  <w:t>4</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Группа 3" o:spid="_x0000_s1026" style="position:absolute;left:0;text-align:left;margin-left:0;margin-top:0;width:501.45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905968" w:rsidRDefault="00D80470">
                          <w:pPr>
                            <w:jc w:val="center"/>
                          </w:pPr>
                          <w:r>
                            <w:fldChar w:fldCharType="begin"/>
                          </w:r>
                          <w:r w:rsidR="00905968">
                            <w:instrText>PAGE    \* MERGEFORMAT</w:instrText>
                          </w:r>
                          <w:r>
                            <w:fldChar w:fldCharType="separate"/>
                          </w:r>
                          <w:r w:rsidR="00257823">
                            <w:rPr>
                              <w:noProof/>
                            </w:rPr>
                            <w:t>4</w:t>
                          </w:r>
                          <w: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88"/>
    <w:rsid w:val="000002ED"/>
    <w:rsid w:val="00084E9E"/>
    <w:rsid w:val="000C69CA"/>
    <w:rsid w:val="00195032"/>
    <w:rsid w:val="001C690F"/>
    <w:rsid w:val="00230061"/>
    <w:rsid w:val="00233FB8"/>
    <w:rsid w:val="00257823"/>
    <w:rsid w:val="00280C2B"/>
    <w:rsid w:val="002F7EFD"/>
    <w:rsid w:val="0032504B"/>
    <w:rsid w:val="00342FD7"/>
    <w:rsid w:val="00365409"/>
    <w:rsid w:val="00367E85"/>
    <w:rsid w:val="0038417D"/>
    <w:rsid w:val="003B0E16"/>
    <w:rsid w:val="003C6B57"/>
    <w:rsid w:val="004552FA"/>
    <w:rsid w:val="0047568F"/>
    <w:rsid w:val="004A3821"/>
    <w:rsid w:val="004D2864"/>
    <w:rsid w:val="004D7D4A"/>
    <w:rsid w:val="00555549"/>
    <w:rsid w:val="00565988"/>
    <w:rsid w:val="0057369E"/>
    <w:rsid w:val="00592F43"/>
    <w:rsid w:val="005A525F"/>
    <w:rsid w:val="005C22CA"/>
    <w:rsid w:val="005D4294"/>
    <w:rsid w:val="0066157C"/>
    <w:rsid w:val="006652B5"/>
    <w:rsid w:val="006B5FC0"/>
    <w:rsid w:val="006D55A4"/>
    <w:rsid w:val="00787AAC"/>
    <w:rsid w:val="007A184F"/>
    <w:rsid w:val="007D3C76"/>
    <w:rsid w:val="0081372B"/>
    <w:rsid w:val="008372B7"/>
    <w:rsid w:val="008B2A66"/>
    <w:rsid w:val="00905968"/>
    <w:rsid w:val="009429A7"/>
    <w:rsid w:val="00A01A5B"/>
    <w:rsid w:val="00A62E1C"/>
    <w:rsid w:val="00B201A8"/>
    <w:rsid w:val="00BD19FF"/>
    <w:rsid w:val="00C429F6"/>
    <w:rsid w:val="00C7663B"/>
    <w:rsid w:val="00D80470"/>
    <w:rsid w:val="00DA6073"/>
    <w:rsid w:val="00DE1358"/>
    <w:rsid w:val="00DE2701"/>
    <w:rsid w:val="00E677D2"/>
    <w:rsid w:val="00E85178"/>
    <w:rsid w:val="00E85731"/>
    <w:rsid w:val="00F14651"/>
    <w:rsid w:val="00F24000"/>
    <w:rsid w:val="00FC20C7"/>
    <w:rsid w:val="00FE1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package" Target="embeddings/Microsoft_PowerPoint_Slide9.sld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2.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3.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86E-2"/>
          <c:y val="4.3650793650793697E-2"/>
          <c:w val="0.94907407407407496"/>
          <c:h val="0.81003512472405159"/>
        </c:manualLayout>
      </c:layout>
      <c:barChart>
        <c:barDir val="col"/>
        <c:grouping val="clustered"/>
        <c:varyColors val="0"/>
        <c:ser>
          <c:idx val="0"/>
          <c:order val="0"/>
          <c:tx>
            <c:strRef>
              <c:f>Лист1!$B$1</c:f>
              <c:strCache>
                <c:ptCount val="1"/>
                <c:pt idx="0">
                  <c:v>Ряд 1</c:v>
                </c:pt>
              </c:strCache>
            </c:strRef>
          </c:tx>
          <c:spPr>
            <a:solidFill>
              <a:srgbClr val="00B050"/>
            </a:solidFill>
          </c:spPr>
          <c:invertIfNegative val="0"/>
          <c:dLbls>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110.2</c:v>
                </c:pt>
                <c:pt idx="1">
                  <c:v>96.6</c:v>
                </c:pt>
                <c:pt idx="2">
                  <c:v>105.8</c:v>
                </c:pt>
                <c:pt idx="3">
                  <c:v>98.3</c:v>
                </c:pt>
                <c:pt idx="4">
                  <c:v>98.5</c:v>
                </c:pt>
                <c:pt idx="5">
                  <c:v>106.2</c:v>
                </c:pt>
                <c:pt idx="6">
                  <c:v>104.5</c:v>
                </c:pt>
              </c:numCache>
            </c:numRef>
          </c:val>
        </c:ser>
        <c:dLbls>
          <c:showLegendKey val="0"/>
          <c:showVal val="0"/>
          <c:showCatName val="0"/>
          <c:showSerName val="0"/>
          <c:showPercent val="0"/>
          <c:showBubbleSize val="0"/>
        </c:dLbls>
        <c:gapWidth val="68"/>
        <c:overlap val="-28"/>
        <c:axId val="83189760"/>
        <c:axId val="136738432"/>
      </c:barChart>
      <c:catAx>
        <c:axId val="8318976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6738432"/>
        <c:crosses val="autoZero"/>
        <c:auto val="1"/>
        <c:lblAlgn val="ctr"/>
        <c:lblOffset val="100"/>
        <c:noMultiLvlLbl val="0"/>
      </c:catAx>
      <c:valAx>
        <c:axId val="136738432"/>
        <c:scaling>
          <c:orientation val="minMax"/>
        </c:scaling>
        <c:delete val="1"/>
        <c:axPos val="l"/>
        <c:numFmt formatCode="0.0" sourceLinked="1"/>
        <c:majorTickMark val="out"/>
        <c:minorTickMark val="none"/>
        <c:tickLblPos val="nextTo"/>
        <c:crossAx val="8318976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80000"/>
              </a:blip>
              <a:srcRect/>
              <a:tile tx="0" ty="82550" sx="100000" sy="5000" flip="x" algn="t"/>
            </a:blipFill>
          </c:spPr>
          <c:dLbls>
            <c:dLbl>
              <c:idx val="0"/>
              <c:layout>
                <c:manualLayout>
                  <c:x val="-9.2592592592592778E-3"/>
                  <c:y val="-0.34159638573772488"/>
                </c:manualLayout>
              </c:layout>
              <c:showLegendKey val="0"/>
              <c:showVal val="1"/>
              <c:showCatName val="0"/>
              <c:showSerName val="0"/>
              <c:showPercent val="0"/>
              <c:showBubbleSize val="0"/>
            </c:dLbl>
            <c:dLbl>
              <c:idx val="1"/>
              <c:layout>
                <c:manualLayout>
                  <c:x val="-4.6296296296296337E-3"/>
                  <c:y val="-0.36908115240627726"/>
                </c:manualLayout>
              </c:layout>
              <c:showLegendKey val="0"/>
              <c:showVal val="1"/>
              <c:showCatName val="0"/>
              <c:showSerName val="0"/>
              <c:showPercent val="0"/>
              <c:showBubbleSize val="0"/>
            </c:dLbl>
            <c:dLbl>
              <c:idx val="2"/>
              <c:layout>
                <c:manualLayout>
                  <c:x val="2.1466351802047747E-3"/>
                  <c:y val="-0.36031380463308427"/>
                </c:manualLayout>
              </c:layout>
              <c:showLegendKey val="0"/>
              <c:showVal val="1"/>
              <c:showCatName val="0"/>
              <c:showSerName val="0"/>
              <c:showPercent val="0"/>
              <c:showBubbleSize val="0"/>
            </c:dLbl>
            <c:dLbl>
              <c:idx val="3"/>
              <c:layout>
                <c:manualLayout>
                  <c:x val="-3.154787965049356E-3"/>
                  <c:y val="-0.36424004708346802"/>
                </c:manualLayout>
              </c:layout>
              <c:showLegendKey val="0"/>
              <c:showVal val="1"/>
              <c:showCatName val="0"/>
              <c:showSerName val="0"/>
              <c:showPercent val="0"/>
              <c:showBubbleSize val="0"/>
            </c:dLbl>
            <c:dLbl>
              <c:idx val="4"/>
              <c:layout>
                <c:manualLayout>
                  <c:x val="1.8107532916256056E-3"/>
                  <c:y val="-0.30921763036136957"/>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7.280539980425208E-3"/>
                  <c:y val="-0.35773315503450193"/>
                </c:manualLayout>
              </c:layout>
              <c:showLegendKey val="0"/>
              <c:showVal val="1"/>
              <c:showCatName val="0"/>
              <c:showSerName val="0"/>
              <c:showPercent val="0"/>
              <c:showBubbleSize val="0"/>
            </c:dLbl>
            <c:txPr>
              <a:bodyPr anchor="t" anchorCtr="0"/>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1679.5</c:v>
                </c:pt>
                <c:pt idx="1">
                  <c:v>1394.3</c:v>
                </c:pt>
                <c:pt idx="2">
                  <c:v>1756.7</c:v>
                </c:pt>
                <c:pt idx="3">
                  <c:v>1681.8</c:v>
                </c:pt>
                <c:pt idx="4" formatCode="0.0">
                  <c:v>1218</c:v>
                </c:pt>
                <c:pt idx="5">
                  <c:v>1393.9</c:v>
                </c:pt>
                <c:pt idx="6" formatCode="0.0">
                  <c:v>1580</c:v>
                </c:pt>
              </c:numCache>
            </c:numRef>
          </c:val>
        </c:ser>
        <c:dLbls>
          <c:showLegendKey val="0"/>
          <c:showVal val="0"/>
          <c:showCatName val="0"/>
          <c:showSerName val="0"/>
          <c:showPercent val="0"/>
          <c:showBubbleSize val="0"/>
        </c:dLbls>
        <c:axId val="87933440"/>
        <c:axId val="38179904"/>
      </c:areaChart>
      <c:catAx>
        <c:axId val="87933440"/>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179904"/>
        <c:crosses val="autoZero"/>
        <c:auto val="1"/>
        <c:lblAlgn val="ctr"/>
        <c:lblOffset val="100"/>
        <c:noMultiLvlLbl val="0"/>
      </c:catAx>
      <c:valAx>
        <c:axId val="38179904"/>
        <c:scaling>
          <c:orientation val="minMax"/>
        </c:scaling>
        <c:delete val="1"/>
        <c:axPos val="l"/>
        <c:numFmt formatCode="General" sourceLinked="1"/>
        <c:majorTickMark val="out"/>
        <c:minorTickMark val="none"/>
        <c:tickLblPos val="nextTo"/>
        <c:crossAx val="87933440"/>
        <c:crosses val="autoZero"/>
        <c:crossBetween val="midCat"/>
      </c:valAx>
    </c:plotArea>
    <c:plotVisOnly val="1"/>
    <c:dispBlanksAs val="zero"/>
    <c:showDLblsOverMax val="0"/>
  </c:chart>
  <c:spPr>
    <a:ln>
      <a:noFill/>
    </a:ln>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2899903852"/>
          <c:h val="0.74051399041933319"/>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srcRect/>
              <a:tile tx="0" ty="82550" sx="100000" sy="17000" flip="x" algn="t"/>
            </a:blipFill>
          </c:spPr>
          <c:dLbls>
            <c:dLbl>
              <c:idx val="0"/>
              <c:layout>
                <c:manualLayout>
                  <c:x val="2.3148148148148147E-3"/>
                  <c:y val="-0.34790570200812349"/>
                </c:manualLayout>
              </c:layout>
              <c:showLegendKey val="0"/>
              <c:showVal val="1"/>
              <c:showCatName val="0"/>
              <c:showSerName val="0"/>
              <c:showPercent val="0"/>
              <c:showBubbleSize val="0"/>
            </c:dLbl>
            <c:dLbl>
              <c:idx val="1"/>
              <c:layout>
                <c:manualLayout>
                  <c:x val="-4.6296296296296337E-3"/>
                  <c:y val="-0.40423960648467216"/>
                </c:manualLayout>
              </c:layout>
              <c:showLegendKey val="0"/>
              <c:showVal val="1"/>
              <c:showCatName val="0"/>
              <c:showSerName val="0"/>
              <c:showPercent val="0"/>
              <c:showBubbleSize val="0"/>
            </c:dLbl>
            <c:dLbl>
              <c:idx val="2"/>
              <c:layout>
                <c:manualLayout>
                  <c:x val="2.3148148148148147E-3"/>
                  <c:y val="-0.35564380383393718"/>
                </c:manualLayout>
              </c:layout>
              <c:showLegendKey val="0"/>
              <c:showVal val="1"/>
              <c:showCatName val="0"/>
              <c:showSerName val="0"/>
              <c:showPercent val="0"/>
              <c:showBubbleSize val="0"/>
            </c:dLbl>
            <c:dLbl>
              <c:idx val="3"/>
              <c:layout>
                <c:manualLayout>
                  <c:x val="-2.5462962962962982E-2"/>
                  <c:y val="-0.37195156920173122"/>
                </c:manualLayout>
              </c:layout>
              <c:showLegendKey val="0"/>
              <c:showVal val="1"/>
              <c:showCatName val="0"/>
              <c:showSerName val="0"/>
              <c:showPercent val="0"/>
              <c:showBubbleSize val="0"/>
            </c:dLbl>
            <c:dLbl>
              <c:idx val="4"/>
              <c:layout>
                <c:manualLayout>
                  <c:x val="-4.6296296296296337E-3"/>
                  <c:y val="-0.39656591907483058"/>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5.2019012704125718E-3"/>
                  <c:y val="-0.34911848297069403"/>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205.4</c:v>
                </c:pt>
                <c:pt idx="1">
                  <c:v>177.4</c:v>
                </c:pt>
                <c:pt idx="2">
                  <c:v>195.4</c:v>
                </c:pt>
                <c:pt idx="3">
                  <c:v>197.5</c:v>
                </c:pt>
                <c:pt idx="4">
                  <c:v>197.5</c:v>
                </c:pt>
                <c:pt idx="5">
                  <c:v>174.5</c:v>
                </c:pt>
                <c:pt idx="6">
                  <c:v>170</c:v>
                </c:pt>
              </c:numCache>
            </c:numRef>
          </c:val>
        </c:ser>
        <c:dLbls>
          <c:showLegendKey val="0"/>
          <c:showVal val="0"/>
          <c:showCatName val="0"/>
          <c:showSerName val="0"/>
          <c:showPercent val="0"/>
          <c:showBubbleSize val="0"/>
        </c:dLbls>
        <c:axId val="87934976"/>
        <c:axId val="38177600"/>
      </c:areaChart>
      <c:catAx>
        <c:axId val="87934976"/>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177600"/>
        <c:crosses val="autoZero"/>
        <c:auto val="1"/>
        <c:lblAlgn val="ctr"/>
        <c:lblOffset val="100"/>
        <c:noMultiLvlLbl val="0"/>
      </c:catAx>
      <c:valAx>
        <c:axId val="38177600"/>
        <c:scaling>
          <c:orientation val="minMax"/>
        </c:scaling>
        <c:delete val="1"/>
        <c:axPos val="l"/>
        <c:numFmt formatCode="General" sourceLinked="1"/>
        <c:majorTickMark val="out"/>
        <c:minorTickMark val="none"/>
        <c:tickLblPos val="nextTo"/>
        <c:crossAx val="87934976"/>
        <c:crosses val="autoZero"/>
        <c:crossBetween val="midCat"/>
      </c:valAx>
    </c:plotArea>
    <c:plotVisOnly val="1"/>
    <c:dispBlanksAs val="zero"/>
    <c:showDLblsOverMax val="0"/>
  </c:chart>
  <c:spPr>
    <a:ln>
      <a:noFill/>
    </a:ln>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879068530530644"/>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70000"/>
              </a:blip>
              <a:srcRect/>
              <a:tile tx="0" ty="82550" sx="100000" sy="33000" flip="x" algn="t"/>
            </a:blipFill>
          </c:spPr>
          <c:dLbls>
            <c:dLbl>
              <c:idx val="0"/>
              <c:layout>
                <c:manualLayout>
                  <c:x val="2.3148148148148147E-3"/>
                  <c:y val="-0.34155051800308478"/>
                </c:manualLayout>
              </c:layout>
              <c:showLegendKey val="0"/>
              <c:showVal val="1"/>
              <c:showCatName val="0"/>
              <c:showSerName val="0"/>
              <c:showPercent val="0"/>
              <c:showBubbleSize val="0"/>
            </c:dLbl>
            <c:dLbl>
              <c:idx val="1"/>
              <c:layout>
                <c:manualLayout>
                  <c:x val="-4.6296296296296337E-3"/>
                  <c:y val="-0.35959082937842674"/>
                </c:manualLayout>
              </c:layout>
              <c:showLegendKey val="0"/>
              <c:showVal val="1"/>
              <c:showCatName val="0"/>
              <c:showSerName val="0"/>
              <c:showPercent val="0"/>
              <c:showBubbleSize val="0"/>
            </c:dLbl>
            <c:dLbl>
              <c:idx val="2"/>
              <c:layout>
                <c:manualLayout>
                  <c:x val="-1.6203703703703703E-2"/>
                  <c:y val="-0.36846182714181253"/>
                </c:manualLayout>
              </c:layout>
              <c:showLegendKey val="0"/>
              <c:showVal val="1"/>
              <c:showCatName val="0"/>
              <c:showSerName val="0"/>
              <c:showPercent val="0"/>
              <c:showBubbleSize val="0"/>
            </c:dLbl>
            <c:dLbl>
              <c:idx val="3"/>
              <c:layout>
                <c:manualLayout>
                  <c:x val="-1.535054205112514E-4"/>
                  <c:y val="-0.28161442234557332"/>
                </c:manualLayout>
              </c:layout>
              <c:showLegendKey val="0"/>
              <c:showVal val="1"/>
              <c:showCatName val="0"/>
              <c:showSerName val="0"/>
              <c:showPercent val="0"/>
              <c:showBubbleSize val="0"/>
            </c:dLbl>
            <c:dLbl>
              <c:idx val="4"/>
              <c:layout>
                <c:manualLayout>
                  <c:x val="-6.9445035359003635E-3"/>
                  <c:y val="-0.30538318024926608"/>
                </c:manualLayout>
              </c:layout>
              <c:showLegendKey val="0"/>
              <c:showVal val="1"/>
              <c:showCatName val="0"/>
              <c:showSerName val="0"/>
              <c:showPercent val="0"/>
              <c:showBubbleSize val="0"/>
            </c:dLbl>
            <c:dLbl>
              <c:idx val="5"/>
              <c:layout>
                <c:manualLayout>
                  <c:x val="-1.535054205112514E-4"/>
                  <c:y val="-0.30441774495955443"/>
                </c:manualLayout>
              </c:layout>
              <c:showLegendKey val="0"/>
              <c:showVal val="1"/>
              <c:showCatName val="0"/>
              <c:showSerName val="0"/>
              <c:showPercent val="0"/>
              <c:showBubbleSize val="0"/>
            </c:dLbl>
            <c:dLbl>
              <c:idx val="6"/>
              <c:layout>
                <c:manualLayout>
                  <c:x val="-7.2513441935298456E-3"/>
                  <c:y val="-0.33204223317019282"/>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c:formatCode>
                <c:ptCount val="7"/>
                <c:pt idx="0">
                  <c:v>1912.3</c:v>
                </c:pt>
                <c:pt idx="1">
                  <c:v>1814.2</c:v>
                </c:pt>
                <c:pt idx="2">
                  <c:v>2088.3000000000002</c:v>
                </c:pt>
                <c:pt idx="3">
                  <c:v>1381.8</c:v>
                </c:pt>
                <c:pt idx="4">
                  <c:v>1679.3</c:v>
                </c:pt>
                <c:pt idx="5">
                  <c:v>1806.2</c:v>
                </c:pt>
                <c:pt idx="6">
                  <c:v>1840</c:v>
                </c:pt>
              </c:numCache>
            </c:numRef>
          </c:val>
        </c:ser>
        <c:dLbls>
          <c:showLegendKey val="0"/>
          <c:showVal val="0"/>
          <c:showCatName val="0"/>
          <c:showSerName val="0"/>
          <c:showPercent val="0"/>
          <c:showBubbleSize val="0"/>
        </c:dLbls>
        <c:axId val="87936512"/>
        <c:axId val="38181632"/>
      </c:areaChart>
      <c:catAx>
        <c:axId val="87936512"/>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181632"/>
        <c:crosses val="autoZero"/>
        <c:auto val="1"/>
        <c:lblAlgn val="ctr"/>
        <c:lblOffset val="100"/>
        <c:noMultiLvlLbl val="0"/>
      </c:catAx>
      <c:valAx>
        <c:axId val="38181632"/>
        <c:scaling>
          <c:orientation val="minMax"/>
        </c:scaling>
        <c:delete val="1"/>
        <c:axPos val="l"/>
        <c:numFmt formatCode="0" sourceLinked="1"/>
        <c:majorTickMark val="out"/>
        <c:minorTickMark val="none"/>
        <c:tickLblPos val="nextTo"/>
        <c:crossAx val="87936512"/>
        <c:crosses val="autoZero"/>
        <c:crossBetween val="midCat"/>
      </c:valAx>
    </c:plotArea>
    <c:plotVisOnly val="1"/>
    <c:dispBlanksAs val="zero"/>
    <c:showDLblsOverMax val="0"/>
  </c:chart>
  <c:spPr>
    <a:ln>
      <a:noFill/>
    </a:ln>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003283989644951"/>
        </c:manualLayout>
      </c:layout>
      <c:areaChart>
        <c:grouping val="standard"/>
        <c:varyColors val="0"/>
        <c:ser>
          <c:idx val="0"/>
          <c:order val="0"/>
          <c:tx>
            <c:strRef>
              <c:f>Лист1!$B$1</c:f>
              <c:strCache>
                <c:ptCount val="1"/>
                <c:pt idx="0">
                  <c:v>Ряд 1</c:v>
                </c:pt>
              </c:strCache>
            </c:strRef>
          </c:tx>
          <c:spPr>
            <a:solidFill>
              <a:srgbClr val="FFFF00"/>
            </a:solidFill>
          </c:spPr>
          <c:dLbls>
            <c:dLbl>
              <c:idx val="0"/>
              <c:layout>
                <c:manualLayout>
                  <c:x val="4.6296296296296337E-3"/>
                  <c:y val="-0.220121475574204"/>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1.6203703703703703E-2"/>
                  <c:y val="-0.36838184026167314"/>
                </c:manualLayout>
              </c:layout>
              <c:showLegendKey val="0"/>
              <c:showVal val="1"/>
              <c:showCatName val="0"/>
              <c:showSerName val="0"/>
              <c:showPercent val="0"/>
              <c:showBubbleSize val="0"/>
            </c:dLbl>
            <c:dLbl>
              <c:idx val="3"/>
              <c:layout>
                <c:manualLayout>
                  <c:x val="-6.944444444444451E-3"/>
                  <c:y val="-0.44214232030368855"/>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4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105.6</c:v>
                </c:pt>
                <c:pt idx="1">
                  <c:v>101.7</c:v>
                </c:pt>
                <c:pt idx="2">
                  <c:v>128.1</c:v>
                </c:pt>
                <c:pt idx="3">
                  <c:v>113.6</c:v>
                </c:pt>
                <c:pt idx="4">
                  <c:v>61</c:v>
                </c:pt>
                <c:pt idx="5">
                  <c:v>134.69999999999999</c:v>
                </c:pt>
                <c:pt idx="6">
                  <c:v>135</c:v>
                </c:pt>
              </c:numCache>
            </c:numRef>
          </c:val>
        </c:ser>
        <c:dLbls>
          <c:showLegendKey val="0"/>
          <c:showVal val="0"/>
          <c:showCatName val="0"/>
          <c:showSerName val="0"/>
          <c:showPercent val="0"/>
          <c:showBubbleSize val="0"/>
        </c:dLbls>
        <c:axId val="88729088"/>
        <c:axId val="38178752"/>
      </c:areaChart>
      <c:catAx>
        <c:axId val="88729088"/>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178752"/>
        <c:crosses val="autoZero"/>
        <c:auto val="1"/>
        <c:lblAlgn val="ctr"/>
        <c:lblOffset val="100"/>
        <c:noMultiLvlLbl val="0"/>
      </c:catAx>
      <c:valAx>
        <c:axId val="38178752"/>
        <c:scaling>
          <c:orientation val="minMax"/>
        </c:scaling>
        <c:delete val="1"/>
        <c:axPos val="l"/>
        <c:numFmt formatCode="0.0" sourceLinked="1"/>
        <c:majorTickMark val="out"/>
        <c:minorTickMark val="none"/>
        <c:tickLblPos val="nextTo"/>
        <c:crossAx val="88729088"/>
        <c:crosses val="autoZero"/>
        <c:crossBetween val="midCat"/>
      </c:valAx>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85185185185147E-2"/>
          <c:y val="5.2623721931346068E-3"/>
          <c:w val="0.90277777777777779"/>
          <c:h val="0.72917071732329652"/>
        </c:manualLayout>
      </c:layout>
      <c:areaChart>
        <c:grouping val="standard"/>
        <c:varyColors val="0"/>
        <c:ser>
          <c:idx val="0"/>
          <c:order val="0"/>
          <c:tx>
            <c:strRef>
              <c:f>Лист1!$B$1</c:f>
              <c:strCache>
                <c:ptCount val="1"/>
                <c:pt idx="0">
                  <c:v>Ряд 1</c:v>
                </c:pt>
              </c:strCache>
            </c:strRef>
          </c:tx>
          <c:spPr>
            <a:solidFill>
              <a:srgbClr val="AEFC68"/>
            </a:solidFill>
          </c:spPr>
          <c:dLbls>
            <c:dLbl>
              <c:idx val="0"/>
              <c:layout>
                <c:manualLayout>
                  <c:x val="4.6296296296296389E-3"/>
                  <c:y val="-0.27768162038606087"/>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6.944444444444451E-3"/>
                  <c:y val="-0.36852895305499389"/>
                </c:manualLayout>
              </c:layout>
              <c:showLegendKey val="0"/>
              <c:showVal val="1"/>
              <c:showCatName val="0"/>
              <c:showSerName val="0"/>
              <c:showPercent val="0"/>
              <c:showBubbleSize val="0"/>
            </c:dLbl>
            <c:dLbl>
              <c:idx val="3"/>
              <c:layout>
                <c:manualLayout>
                  <c:x val="-2.5463145231846018E-2"/>
                  <c:y val="-0.40760102615922017"/>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9970836978712E-3"/>
                  <c:y val="-0.396687597475814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990.7</c:v>
                </c:pt>
                <c:pt idx="1">
                  <c:v>1026.5</c:v>
                </c:pt>
                <c:pt idx="2">
                  <c:v>1080.5999999999999</c:v>
                </c:pt>
                <c:pt idx="3">
                  <c:v>1137.9000000000001</c:v>
                </c:pt>
                <c:pt idx="4">
                  <c:v>1151.3</c:v>
                </c:pt>
                <c:pt idx="5">
                  <c:v>1168.5</c:v>
                </c:pt>
                <c:pt idx="6">
                  <c:v>1227</c:v>
                </c:pt>
              </c:numCache>
            </c:numRef>
          </c:val>
        </c:ser>
        <c:dLbls>
          <c:showLegendKey val="0"/>
          <c:showVal val="0"/>
          <c:showCatName val="0"/>
          <c:showSerName val="0"/>
          <c:showPercent val="0"/>
          <c:showBubbleSize val="0"/>
        </c:dLbls>
        <c:axId val="88730112"/>
        <c:axId val="66116352"/>
      </c:areaChart>
      <c:catAx>
        <c:axId val="88730112"/>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6116352"/>
        <c:crosses val="autoZero"/>
        <c:auto val="1"/>
        <c:lblAlgn val="ctr"/>
        <c:lblOffset val="100"/>
        <c:noMultiLvlLbl val="0"/>
      </c:catAx>
      <c:valAx>
        <c:axId val="66116352"/>
        <c:scaling>
          <c:orientation val="minMax"/>
        </c:scaling>
        <c:delete val="1"/>
        <c:axPos val="l"/>
        <c:numFmt formatCode="0.0" sourceLinked="1"/>
        <c:majorTickMark val="out"/>
        <c:minorTickMark val="none"/>
        <c:tickLblPos val="nextTo"/>
        <c:crossAx val="88730112"/>
        <c:crosses val="autoZero"/>
        <c:crossBetween val="midCat"/>
      </c:valAx>
    </c:plotArea>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4.3650793650793697E-2"/>
          <c:w val="1"/>
          <c:h val="0.7350751029166257"/>
        </c:manualLayout>
      </c:layout>
      <c:barChart>
        <c:barDir val="col"/>
        <c:grouping val="clustered"/>
        <c:varyColors val="0"/>
        <c:ser>
          <c:idx val="0"/>
          <c:order val="0"/>
          <c:tx>
            <c:strRef>
              <c:f>Лист1!$B$1</c:f>
              <c:strCache>
                <c:ptCount val="1"/>
                <c:pt idx="0">
                  <c:v>Ряд 1</c:v>
                </c:pt>
              </c:strCache>
            </c:strRef>
          </c:tx>
          <c:spPr>
            <a:solidFill>
              <a:srgbClr val="598F6A"/>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644.70000000000005</c:v>
                </c:pt>
                <c:pt idx="1">
                  <c:v>644.79999999999995</c:v>
                </c:pt>
                <c:pt idx="2">
                  <c:v>666.6</c:v>
                </c:pt>
                <c:pt idx="3">
                  <c:v>685.6</c:v>
                </c:pt>
                <c:pt idx="4">
                  <c:v>680</c:v>
                </c:pt>
                <c:pt idx="5">
                  <c:v>685.4</c:v>
                </c:pt>
                <c:pt idx="6">
                  <c:v>690</c:v>
                </c:pt>
              </c:numCache>
            </c:numRef>
          </c:val>
        </c:ser>
        <c:dLbls>
          <c:showLegendKey val="0"/>
          <c:showVal val="0"/>
          <c:showCatName val="0"/>
          <c:showSerName val="0"/>
          <c:showPercent val="0"/>
          <c:showBubbleSize val="0"/>
        </c:dLbls>
        <c:gapWidth val="50"/>
        <c:overlap val="-28"/>
        <c:axId val="108359168"/>
        <c:axId val="136739584"/>
      </c:barChart>
      <c:catAx>
        <c:axId val="1083591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6739584"/>
        <c:crosses val="autoZero"/>
        <c:auto val="1"/>
        <c:lblAlgn val="ctr"/>
        <c:lblOffset val="100"/>
        <c:noMultiLvlLbl val="0"/>
      </c:catAx>
      <c:valAx>
        <c:axId val="136739584"/>
        <c:scaling>
          <c:orientation val="minMax"/>
        </c:scaling>
        <c:delete val="1"/>
        <c:axPos val="l"/>
        <c:numFmt formatCode="0.0" sourceLinked="1"/>
        <c:majorTickMark val="out"/>
        <c:minorTickMark val="none"/>
        <c:tickLblPos val="nextTo"/>
        <c:crossAx val="10835916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401168124144481E-3"/>
          <c:y val="4.3650775744722446E-2"/>
          <c:w val="0.94907407407407496"/>
          <c:h val="0.75905824006493661"/>
        </c:manualLayout>
      </c:layout>
      <c:barChart>
        <c:barDir val="col"/>
        <c:grouping val="clustered"/>
        <c:varyColors val="0"/>
        <c:ser>
          <c:idx val="0"/>
          <c:order val="0"/>
          <c:tx>
            <c:strRef>
              <c:f>Лист1!$B$1</c:f>
              <c:strCache>
                <c:ptCount val="1"/>
                <c:pt idx="0">
                  <c:v>Ряд 1</c:v>
                </c:pt>
              </c:strCache>
            </c:strRef>
          </c:tx>
          <c:spPr>
            <a:solidFill>
              <a:schemeClr val="accent6">
                <a:lumMod val="75000"/>
              </a:schemeClr>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2012</c:v>
                </c:pt>
                <c:pt idx="1">
                  <c:v>2013</c:v>
                </c:pt>
                <c:pt idx="2">
                  <c:v>2014</c:v>
                </c:pt>
                <c:pt idx="3">
                  <c:v>2015</c:v>
                </c:pt>
                <c:pt idx="4">
                  <c:v>2016</c:v>
                </c:pt>
                <c:pt idx="5">
                  <c:v>2017
(оценка)</c:v>
                </c:pt>
              </c:strCache>
            </c:strRef>
          </c:cat>
          <c:val>
            <c:numRef>
              <c:f>Лист1!$B$2:$B$7</c:f>
              <c:numCache>
                <c:formatCode>0.0</c:formatCode>
                <c:ptCount val="6"/>
                <c:pt idx="0">
                  <c:v>708.3</c:v>
                </c:pt>
                <c:pt idx="1">
                  <c:v>632.20000000000005</c:v>
                </c:pt>
                <c:pt idx="2">
                  <c:v>568.6</c:v>
                </c:pt>
                <c:pt idx="3">
                  <c:v>625.79999999999995</c:v>
                </c:pt>
                <c:pt idx="4">
                  <c:v>650.79999999999995</c:v>
                </c:pt>
                <c:pt idx="5">
                  <c:v>677</c:v>
                </c:pt>
              </c:numCache>
            </c:numRef>
          </c:val>
        </c:ser>
        <c:dLbls>
          <c:showLegendKey val="0"/>
          <c:showVal val="0"/>
          <c:showCatName val="0"/>
          <c:showSerName val="0"/>
          <c:showPercent val="0"/>
          <c:showBubbleSize val="0"/>
        </c:dLbls>
        <c:gapWidth val="50"/>
        <c:overlap val="-28"/>
        <c:axId val="137293824"/>
        <c:axId val="87777856"/>
      </c:barChart>
      <c:catAx>
        <c:axId val="13729382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7777856"/>
        <c:crosses val="autoZero"/>
        <c:auto val="1"/>
        <c:lblAlgn val="ctr"/>
        <c:lblOffset val="100"/>
        <c:noMultiLvlLbl val="0"/>
      </c:catAx>
      <c:valAx>
        <c:axId val="87777856"/>
        <c:scaling>
          <c:orientation val="minMax"/>
        </c:scaling>
        <c:delete val="1"/>
        <c:axPos val="l"/>
        <c:numFmt formatCode="0.0" sourceLinked="1"/>
        <c:majorTickMark val="out"/>
        <c:minorTickMark val="none"/>
        <c:tickLblPos val="nextTo"/>
        <c:crossAx val="137293824"/>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656E-E2B4-4433-A6AB-71DE2208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12395</Words>
  <Characters>70655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Seven</cp:lastModifiedBy>
  <cp:revision>4</cp:revision>
  <cp:lastPrinted>2018-02-06T10:57:00Z</cp:lastPrinted>
  <dcterms:created xsi:type="dcterms:W3CDTF">2018-02-12T11:30:00Z</dcterms:created>
  <dcterms:modified xsi:type="dcterms:W3CDTF">2018-02-14T08:27:00Z</dcterms:modified>
</cp:coreProperties>
</file>